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941" w:rsidRDefault="002E3615" w:rsidP="002E3615">
      <w:pPr>
        <w:spacing w:after="200"/>
        <w:contextualSpacing/>
        <w:jc w:val="right"/>
        <w:rPr>
          <w:rFonts w:asciiTheme="majorHAnsi" w:hAnsiTheme="majorHAnsi" w:cs="Tahoma"/>
          <w:sz w:val="22"/>
          <w:szCs w:val="22"/>
        </w:rPr>
      </w:pPr>
      <w:r w:rsidRPr="002E3615">
        <w:rPr>
          <w:rFonts w:asciiTheme="majorHAnsi" w:hAnsiTheme="majorHAnsi" w:cs="Tahoma"/>
          <w:noProof/>
          <w:sz w:val="22"/>
          <w:szCs w:val="22"/>
        </w:rPr>
        <w:drawing>
          <wp:inline distT="0" distB="0" distL="0" distR="0">
            <wp:extent cx="3238500" cy="10668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7" cstate="print"/>
                    <a:stretch>
                      <a:fillRect/>
                    </a:stretch>
                  </pic:blipFill>
                  <pic:spPr bwMode="auto">
                    <a:xfrm>
                      <a:off x="0" y="0"/>
                      <a:ext cx="3238500" cy="1066800"/>
                    </a:xfrm>
                    <a:prstGeom prst="rect">
                      <a:avLst/>
                    </a:prstGeom>
                    <a:noFill/>
                    <a:ln w="9525">
                      <a:noFill/>
                      <a:miter lim="800000"/>
                      <a:headEnd/>
                      <a:tailEnd/>
                    </a:ln>
                  </pic:spPr>
                </pic:pic>
              </a:graphicData>
            </a:graphic>
          </wp:inline>
        </w:drawing>
      </w:r>
    </w:p>
    <w:p w:rsidR="00930D99" w:rsidRDefault="00930D99" w:rsidP="007B1941">
      <w:pPr>
        <w:spacing w:after="200"/>
        <w:contextualSpacing/>
        <w:rPr>
          <w:rFonts w:asciiTheme="majorHAnsi" w:hAnsiTheme="majorHAnsi" w:cs="Tahoma"/>
          <w:sz w:val="22"/>
          <w:szCs w:val="22"/>
        </w:rPr>
      </w:pPr>
    </w:p>
    <w:p w:rsidR="00930D99" w:rsidRDefault="00930D99" w:rsidP="00930D99">
      <w:pPr>
        <w:tabs>
          <w:tab w:val="left" w:pos="4536"/>
        </w:tabs>
        <w:rPr>
          <w:rFonts w:asciiTheme="majorHAnsi" w:eastAsia="Calibri" w:hAnsiTheme="majorHAnsi"/>
          <w:sz w:val="18"/>
          <w:szCs w:val="18"/>
        </w:rPr>
      </w:pPr>
    </w:p>
    <w:tbl>
      <w:tblPr>
        <w:tblStyle w:val="Grigliatabella"/>
        <w:tblW w:w="0" w:type="auto"/>
        <w:tblInd w:w="4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14"/>
      </w:tblGrid>
      <w:tr w:rsidR="00930D99" w:rsidTr="002E3615">
        <w:tc>
          <w:tcPr>
            <w:tcW w:w="0" w:type="auto"/>
          </w:tcPr>
          <w:p w:rsidR="00930D99" w:rsidRDefault="00930D99" w:rsidP="002E3615">
            <w:pPr>
              <w:rPr>
                <w:rFonts w:asciiTheme="majorHAnsi" w:hAnsiTheme="majorHAnsi"/>
                <w:sz w:val="16"/>
                <w:szCs w:val="16"/>
              </w:rPr>
            </w:pPr>
            <w:r>
              <w:rPr>
                <w:rFonts w:asciiTheme="majorHAnsi" w:eastAsia="Calibri" w:hAnsiTheme="majorHAnsi"/>
                <w:b/>
                <w:bCs/>
                <w:sz w:val="16"/>
                <w:szCs w:val="16"/>
              </w:rPr>
              <w:t>SEDE LEGALE</w:t>
            </w:r>
            <w:r>
              <w:rPr>
                <w:rFonts w:asciiTheme="majorHAnsi" w:eastAsia="Calibri" w:hAnsiTheme="majorHAnsi"/>
                <w:sz w:val="16"/>
                <w:szCs w:val="16"/>
              </w:rPr>
              <w:t>:</w:t>
            </w:r>
            <w:r>
              <w:rPr>
                <w:rFonts w:asciiTheme="majorHAnsi" w:hAnsiTheme="majorHAnsi"/>
                <w:sz w:val="16"/>
                <w:szCs w:val="16"/>
              </w:rPr>
              <w:t xml:space="preserve"> Udine - Via Pozzuolo 330</w:t>
            </w:r>
          </w:p>
          <w:p w:rsidR="00930D99" w:rsidRDefault="00930D99" w:rsidP="002E3615">
            <w:pPr>
              <w:rPr>
                <w:rFonts w:asciiTheme="majorHAnsi" w:hAnsiTheme="majorHAnsi"/>
                <w:sz w:val="16"/>
                <w:szCs w:val="16"/>
              </w:rPr>
            </w:pPr>
            <w:r>
              <w:rPr>
                <w:rFonts w:asciiTheme="majorHAnsi" w:hAnsiTheme="majorHAnsi"/>
                <w:sz w:val="16"/>
                <w:szCs w:val="16"/>
              </w:rPr>
              <w:t>Centralino: +39 0432 554160 – Fax: +39 0432 306241</w:t>
            </w:r>
          </w:p>
          <w:p w:rsidR="00930D99" w:rsidRDefault="00930D99" w:rsidP="002E3615">
            <w:pPr>
              <w:rPr>
                <w:rFonts w:asciiTheme="majorHAnsi" w:hAnsiTheme="majorHAnsi"/>
                <w:sz w:val="16"/>
                <w:szCs w:val="16"/>
              </w:rPr>
            </w:pPr>
            <w:r>
              <w:rPr>
                <w:rFonts w:asciiTheme="majorHAnsi" w:hAnsiTheme="majorHAnsi"/>
                <w:sz w:val="16"/>
                <w:szCs w:val="16"/>
              </w:rPr>
              <w:t>C.F./</w:t>
            </w:r>
            <w:proofErr w:type="spellStart"/>
            <w:r>
              <w:rPr>
                <w:rFonts w:asciiTheme="majorHAnsi" w:hAnsiTheme="majorHAnsi"/>
                <w:sz w:val="16"/>
                <w:szCs w:val="16"/>
              </w:rPr>
              <w:t>P.IVA</w:t>
            </w:r>
            <w:proofErr w:type="spellEnd"/>
            <w:r>
              <w:rPr>
                <w:rFonts w:asciiTheme="majorHAnsi" w:hAnsiTheme="majorHAnsi"/>
                <w:sz w:val="16"/>
                <w:szCs w:val="16"/>
              </w:rPr>
              <w:t xml:space="preserve"> 02801630308</w:t>
            </w:r>
          </w:p>
          <w:p w:rsidR="00930D99" w:rsidRPr="00B92120" w:rsidRDefault="00930D99" w:rsidP="002E3615">
            <w:r>
              <w:rPr>
                <w:rFonts w:asciiTheme="majorHAnsi" w:hAnsiTheme="majorHAnsi"/>
                <w:sz w:val="16"/>
                <w:szCs w:val="16"/>
              </w:rPr>
              <w:t xml:space="preserve">e mail: </w:t>
            </w:r>
            <w:hyperlink r:id="rId8">
              <w:r>
                <w:rPr>
                  <w:rStyle w:val="CollegamentoInternet"/>
                  <w:rFonts w:ascii="Cambria" w:hAnsi="Cambria"/>
                  <w:sz w:val="16"/>
                  <w:szCs w:val="16"/>
                </w:rPr>
                <w:t>segreteria@egas.sanita.fvg.it</w:t>
              </w:r>
            </w:hyperlink>
            <w:r>
              <w:rPr>
                <w:rStyle w:val="CollegamentoInternet"/>
                <w:rFonts w:ascii="Cambria" w:hAnsi="Cambria"/>
                <w:sz w:val="16"/>
                <w:szCs w:val="16"/>
              </w:rPr>
              <w:t xml:space="preserve"> </w:t>
            </w:r>
            <w:r>
              <w:rPr>
                <w:rFonts w:asciiTheme="majorHAnsi" w:hAnsiTheme="majorHAnsi"/>
                <w:sz w:val="16"/>
                <w:szCs w:val="16"/>
              </w:rPr>
              <w:t>- PEC:</w:t>
            </w:r>
            <w:hyperlink r:id="rId9">
              <w:r>
                <w:rPr>
                  <w:rStyle w:val="CollegamentoInternet"/>
                  <w:rFonts w:ascii="Cambria" w:hAnsi="Cambria"/>
                  <w:sz w:val="16"/>
                  <w:szCs w:val="16"/>
                </w:rPr>
                <w:t>egas.protgen@certsanita.fvg.it</w:t>
              </w:r>
            </w:hyperlink>
          </w:p>
        </w:tc>
      </w:tr>
      <w:tr w:rsidR="00930D99" w:rsidTr="002E3615">
        <w:tc>
          <w:tcPr>
            <w:tcW w:w="0" w:type="auto"/>
          </w:tcPr>
          <w:p w:rsidR="00930D99" w:rsidRDefault="00930D99" w:rsidP="002E3615">
            <w:pPr>
              <w:rPr>
                <w:rFonts w:asciiTheme="majorHAnsi" w:eastAsia="Calibri" w:hAnsiTheme="majorHAnsi"/>
                <w:b/>
                <w:bCs/>
                <w:sz w:val="16"/>
                <w:szCs w:val="16"/>
              </w:rPr>
            </w:pPr>
          </w:p>
        </w:tc>
      </w:tr>
      <w:tr w:rsidR="00930D99" w:rsidTr="002E3615">
        <w:tc>
          <w:tcPr>
            <w:tcW w:w="0" w:type="auto"/>
          </w:tcPr>
          <w:p w:rsidR="00930D99" w:rsidRDefault="00930D99" w:rsidP="002E3615">
            <w:pPr>
              <w:rPr>
                <w:rFonts w:asciiTheme="majorHAnsi" w:eastAsia="Calibri" w:hAnsiTheme="majorHAnsi"/>
                <w:b/>
                <w:bCs/>
                <w:sz w:val="16"/>
                <w:szCs w:val="16"/>
              </w:rPr>
            </w:pPr>
            <w:proofErr w:type="spellStart"/>
            <w:r w:rsidRPr="00D449EC">
              <w:rPr>
                <w:rFonts w:asciiTheme="majorHAnsi" w:hAnsiTheme="majorHAnsi"/>
                <w:b/>
              </w:rPr>
              <w:t>S.C</w:t>
            </w:r>
            <w:proofErr w:type="spellEnd"/>
            <w:r w:rsidRPr="00D449EC">
              <w:rPr>
                <w:rFonts w:asciiTheme="majorHAnsi" w:hAnsiTheme="majorHAnsi"/>
                <w:b/>
              </w:rPr>
              <w:t xml:space="preserve"> Gestione e sviluppo strategie centralizzate di gara</w:t>
            </w:r>
          </w:p>
        </w:tc>
      </w:tr>
    </w:tbl>
    <w:p w:rsidR="00930D99" w:rsidRPr="002B2484" w:rsidRDefault="00930D99" w:rsidP="00930D99">
      <w:pPr>
        <w:contextualSpacing/>
        <w:jc w:val="center"/>
        <w:rPr>
          <w:rFonts w:asciiTheme="majorHAnsi" w:hAnsiTheme="majorHAnsi" w:cs="Tahoma"/>
        </w:rPr>
      </w:pPr>
    </w:p>
    <w:p w:rsidR="00930D99" w:rsidRPr="0020411B" w:rsidRDefault="00930D99" w:rsidP="00930D99">
      <w:pPr>
        <w:pStyle w:val="Corpodeltesto22"/>
        <w:pBdr>
          <w:top w:val="single" w:sz="4" w:space="1" w:color="auto"/>
          <w:left w:val="single" w:sz="4" w:space="4" w:color="auto"/>
          <w:bottom w:val="single" w:sz="4" w:space="1" w:color="auto"/>
          <w:right w:val="single" w:sz="4" w:space="4" w:color="auto"/>
        </w:pBdr>
        <w:rPr>
          <w:rFonts w:asciiTheme="majorHAnsi" w:hAnsiTheme="majorHAnsi" w:cs="Tahoma"/>
          <w:sz w:val="34"/>
          <w:szCs w:val="34"/>
        </w:rPr>
      </w:pPr>
      <w:r w:rsidRPr="0020411B">
        <w:rPr>
          <w:rFonts w:asciiTheme="majorHAnsi" w:hAnsiTheme="majorHAnsi" w:cs="Tahoma"/>
          <w:sz w:val="34"/>
          <w:szCs w:val="34"/>
        </w:rPr>
        <w:t xml:space="preserve">(ID </w:t>
      </w:r>
      <w:r w:rsidR="00536864">
        <w:rPr>
          <w:rFonts w:asciiTheme="majorHAnsi" w:hAnsiTheme="majorHAnsi" w:cs="Tahoma"/>
          <w:sz w:val="34"/>
          <w:szCs w:val="34"/>
        </w:rPr>
        <w:t>17FAR002</w:t>
      </w:r>
      <w:r w:rsidRPr="0020411B">
        <w:rPr>
          <w:rFonts w:asciiTheme="majorHAnsi" w:hAnsiTheme="majorHAnsi" w:cs="Tahoma"/>
          <w:sz w:val="34"/>
          <w:szCs w:val="34"/>
        </w:rPr>
        <w:t xml:space="preserve">) </w:t>
      </w:r>
    </w:p>
    <w:p w:rsidR="00367565" w:rsidRPr="0091523C" w:rsidRDefault="00930D99" w:rsidP="0091523C">
      <w:pPr>
        <w:pStyle w:val="Corpodeltesto22"/>
        <w:pBdr>
          <w:top w:val="single" w:sz="4" w:space="1" w:color="auto"/>
          <w:left w:val="single" w:sz="4" w:space="4" w:color="auto"/>
          <w:bottom w:val="single" w:sz="4" w:space="1" w:color="auto"/>
          <w:right w:val="single" w:sz="4" w:space="4" w:color="auto"/>
        </w:pBdr>
        <w:rPr>
          <w:rFonts w:asciiTheme="majorHAnsi" w:hAnsiTheme="majorHAnsi" w:cs="Tahoma"/>
          <w:sz w:val="34"/>
          <w:szCs w:val="34"/>
        </w:rPr>
      </w:pPr>
      <w:r w:rsidRPr="0020411B">
        <w:rPr>
          <w:rFonts w:asciiTheme="majorHAnsi" w:hAnsiTheme="majorHAnsi" w:cs="Tahoma"/>
          <w:sz w:val="34"/>
          <w:szCs w:val="34"/>
        </w:rPr>
        <w:t xml:space="preserve">AVVISO CONSULTAZIONE PRELIMINARE </w:t>
      </w:r>
      <w:proofErr w:type="spellStart"/>
      <w:r w:rsidRPr="0020411B">
        <w:rPr>
          <w:rFonts w:asciiTheme="majorHAnsi" w:hAnsiTheme="majorHAnsi" w:cs="Tahoma"/>
          <w:sz w:val="34"/>
          <w:szCs w:val="34"/>
        </w:rPr>
        <w:t>DI</w:t>
      </w:r>
      <w:proofErr w:type="spellEnd"/>
      <w:r w:rsidRPr="0020411B">
        <w:rPr>
          <w:rFonts w:asciiTheme="majorHAnsi" w:hAnsiTheme="majorHAnsi" w:cs="Tahoma"/>
          <w:sz w:val="34"/>
          <w:szCs w:val="34"/>
        </w:rPr>
        <w:t xml:space="preserve"> MERCATO</w:t>
      </w:r>
      <w:r w:rsidR="00536864">
        <w:rPr>
          <w:rFonts w:asciiTheme="majorHAnsi" w:hAnsiTheme="majorHAnsi" w:cs="Tahoma"/>
          <w:sz w:val="34"/>
          <w:szCs w:val="34"/>
        </w:rPr>
        <w:t xml:space="preserve"> PER L’AFFIDAMENTO DELLA </w:t>
      </w:r>
      <w:r w:rsidR="00367565" w:rsidRPr="0091523C">
        <w:rPr>
          <w:rFonts w:asciiTheme="majorHAnsi" w:hAnsiTheme="majorHAnsi" w:cs="Tahoma"/>
          <w:sz w:val="34"/>
          <w:szCs w:val="34"/>
        </w:rPr>
        <w:t xml:space="preserve">FORNITURA </w:t>
      </w:r>
      <w:proofErr w:type="spellStart"/>
      <w:r w:rsidR="00367565" w:rsidRPr="0091523C">
        <w:rPr>
          <w:rFonts w:asciiTheme="majorHAnsi" w:hAnsiTheme="majorHAnsi" w:cs="Tahoma"/>
          <w:sz w:val="34"/>
          <w:szCs w:val="34"/>
        </w:rPr>
        <w:t>DI</w:t>
      </w:r>
      <w:proofErr w:type="spellEnd"/>
      <w:r w:rsidR="00367565" w:rsidRPr="0091523C">
        <w:rPr>
          <w:rFonts w:asciiTheme="majorHAnsi" w:hAnsiTheme="majorHAnsi" w:cs="Tahoma"/>
          <w:sz w:val="34"/>
          <w:szCs w:val="34"/>
        </w:rPr>
        <w:t xml:space="preserve"> SOLUZIONI INFUSIONALI</w:t>
      </w:r>
    </w:p>
    <w:p w:rsidR="00930D99" w:rsidRDefault="00930D99" w:rsidP="00930D99">
      <w:pPr>
        <w:contextualSpacing/>
        <w:jc w:val="both"/>
        <w:rPr>
          <w:rFonts w:asciiTheme="majorHAnsi" w:hAnsiTheme="majorHAnsi" w:cs="Tahoma"/>
        </w:rPr>
      </w:pPr>
    </w:p>
    <w:p w:rsidR="00367565" w:rsidRDefault="00367565" w:rsidP="00930D99">
      <w:pPr>
        <w:jc w:val="both"/>
        <w:rPr>
          <w:rFonts w:asciiTheme="majorHAnsi" w:hAnsiTheme="majorHAnsi" w:cs="Tahoma"/>
          <w:sz w:val="22"/>
          <w:szCs w:val="22"/>
        </w:rPr>
      </w:pPr>
    </w:p>
    <w:p w:rsidR="00367565" w:rsidRDefault="00367565" w:rsidP="00930D99">
      <w:pPr>
        <w:jc w:val="both"/>
        <w:rPr>
          <w:rFonts w:asciiTheme="majorHAnsi" w:hAnsiTheme="majorHAnsi" w:cs="Tahoma"/>
          <w:sz w:val="22"/>
          <w:szCs w:val="22"/>
        </w:rPr>
      </w:pPr>
    </w:p>
    <w:p w:rsidR="00930D99" w:rsidRPr="00536864" w:rsidRDefault="00930D99" w:rsidP="00930D99">
      <w:pPr>
        <w:jc w:val="both"/>
        <w:rPr>
          <w:rFonts w:asciiTheme="majorHAnsi" w:hAnsiTheme="majorHAnsi" w:cs="Tahoma"/>
          <w:sz w:val="22"/>
          <w:szCs w:val="22"/>
        </w:rPr>
      </w:pPr>
      <w:r w:rsidRPr="00367565">
        <w:rPr>
          <w:rFonts w:asciiTheme="majorHAnsi" w:hAnsiTheme="majorHAnsi" w:cs="Tahoma"/>
          <w:sz w:val="22"/>
          <w:szCs w:val="22"/>
        </w:rPr>
        <w:t xml:space="preserve">Il presente avviso è volto ad invitare gli operatori economici che fossero interessati a partecipare alla “consultazione preliminare di mercato” finalizzato alla </w:t>
      </w:r>
      <w:r w:rsidRPr="00536864">
        <w:rPr>
          <w:rFonts w:asciiTheme="majorHAnsi" w:hAnsiTheme="majorHAnsi" w:cs="Tahoma"/>
          <w:sz w:val="22"/>
          <w:szCs w:val="22"/>
        </w:rPr>
        <w:t xml:space="preserve">raccolta di informazioni per il perfezionamento dei documenti della gara di prossima indizione relativa alla “FORNITURA </w:t>
      </w:r>
      <w:proofErr w:type="spellStart"/>
      <w:r w:rsidR="00367565" w:rsidRPr="00536864">
        <w:rPr>
          <w:rFonts w:asciiTheme="majorHAnsi" w:hAnsiTheme="majorHAnsi" w:cs="Tahoma"/>
          <w:sz w:val="22"/>
          <w:szCs w:val="22"/>
        </w:rPr>
        <w:t>DI</w:t>
      </w:r>
      <w:proofErr w:type="spellEnd"/>
      <w:r w:rsidR="00367565" w:rsidRPr="00536864">
        <w:rPr>
          <w:rFonts w:asciiTheme="majorHAnsi" w:hAnsiTheme="majorHAnsi" w:cs="Tahoma"/>
          <w:sz w:val="22"/>
          <w:szCs w:val="22"/>
        </w:rPr>
        <w:t xml:space="preserve"> SOLUZIONI INFUSIONALI</w:t>
      </w:r>
      <w:r w:rsidR="00536864">
        <w:rPr>
          <w:rFonts w:asciiTheme="majorHAnsi" w:hAnsiTheme="majorHAnsi" w:cs="Tahoma"/>
          <w:sz w:val="22"/>
          <w:szCs w:val="22"/>
        </w:rPr>
        <w:t xml:space="preserve">” </w:t>
      </w:r>
      <w:r w:rsidR="0091523C" w:rsidRPr="00536864">
        <w:rPr>
          <w:rFonts w:asciiTheme="majorHAnsi" w:hAnsiTheme="majorHAnsi" w:cs="Tahoma"/>
          <w:sz w:val="22"/>
          <w:szCs w:val="22"/>
        </w:rPr>
        <w:t>gara che verrà bandita da EGAS per conto del Soggetto aggregatore regionale CUC</w:t>
      </w:r>
    </w:p>
    <w:p w:rsidR="00930D99" w:rsidRPr="00367565" w:rsidRDefault="00930D99" w:rsidP="00930D99">
      <w:pPr>
        <w:contextualSpacing/>
        <w:jc w:val="both"/>
        <w:rPr>
          <w:rFonts w:asciiTheme="majorHAnsi" w:hAnsiTheme="majorHAnsi" w:cs="Tahoma"/>
          <w:sz w:val="22"/>
          <w:szCs w:val="22"/>
        </w:rPr>
      </w:pPr>
    </w:p>
    <w:p w:rsidR="00930D99" w:rsidRPr="00367565" w:rsidRDefault="00930D99" w:rsidP="00930D99">
      <w:pPr>
        <w:contextualSpacing/>
        <w:jc w:val="both"/>
        <w:rPr>
          <w:rFonts w:asciiTheme="majorHAnsi" w:hAnsiTheme="majorHAnsi" w:cs="Tahoma"/>
          <w:sz w:val="22"/>
          <w:szCs w:val="22"/>
        </w:rPr>
      </w:pPr>
      <w:r w:rsidRPr="00367565">
        <w:rPr>
          <w:rFonts w:asciiTheme="majorHAnsi" w:hAnsiTheme="majorHAnsi" w:cs="Tahoma"/>
          <w:sz w:val="22"/>
          <w:szCs w:val="22"/>
        </w:rPr>
        <w:t>La consultazione è finalizzata ad incrementare il livello di concorrenza e a rendere più trasparenti le condizioni di partecipazione alla gara ad evidenza pubblica.</w:t>
      </w:r>
    </w:p>
    <w:p w:rsidR="00930D99" w:rsidRPr="00367565" w:rsidRDefault="00930D99" w:rsidP="00930D99">
      <w:pPr>
        <w:contextualSpacing/>
        <w:jc w:val="both"/>
        <w:rPr>
          <w:rFonts w:asciiTheme="majorHAnsi" w:hAnsiTheme="majorHAnsi" w:cs="Tahoma"/>
          <w:sz w:val="22"/>
          <w:szCs w:val="22"/>
        </w:rPr>
      </w:pPr>
    </w:p>
    <w:p w:rsidR="00930D99" w:rsidRPr="00367565" w:rsidRDefault="00930D99" w:rsidP="00930D99">
      <w:pPr>
        <w:contextualSpacing/>
        <w:jc w:val="both"/>
        <w:rPr>
          <w:rFonts w:asciiTheme="majorHAnsi" w:hAnsiTheme="majorHAnsi" w:cs="Tahoma"/>
          <w:sz w:val="22"/>
          <w:szCs w:val="22"/>
        </w:rPr>
      </w:pPr>
      <w:r w:rsidRPr="00367565">
        <w:rPr>
          <w:rFonts w:asciiTheme="majorHAnsi" w:hAnsiTheme="majorHAnsi" w:cs="Tahoma"/>
          <w:sz w:val="22"/>
          <w:szCs w:val="22"/>
        </w:rPr>
        <w:t xml:space="preserve">Al fine di fornire il contributo richiesto agli operatori economici si pubblica la documentazione redatta in bozza (capitolato tecnico) che viene pubblicata sul sito </w:t>
      </w:r>
      <w:hyperlink r:id="rId10" w:history="1">
        <w:r w:rsidRPr="00367565">
          <w:rPr>
            <w:rFonts w:asciiTheme="majorHAnsi" w:hAnsiTheme="majorHAnsi"/>
            <w:sz w:val="22"/>
            <w:szCs w:val="22"/>
          </w:rPr>
          <w:t>www.egas.sanita.fvg.it</w:t>
        </w:r>
      </w:hyperlink>
      <w:r w:rsidRPr="00367565">
        <w:rPr>
          <w:rFonts w:asciiTheme="majorHAnsi" w:hAnsiTheme="majorHAnsi" w:cs="Tahoma"/>
          <w:sz w:val="22"/>
          <w:szCs w:val="22"/>
        </w:rPr>
        <w:t xml:space="preserve"> alla voce “</w:t>
      </w:r>
      <w:r w:rsidRPr="00367565">
        <w:rPr>
          <w:rFonts w:asciiTheme="majorHAnsi" w:hAnsiTheme="majorHAnsi" w:cs="Tahoma"/>
          <w:b/>
          <w:sz w:val="22"/>
          <w:szCs w:val="22"/>
        </w:rPr>
        <w:t>Bandi e Gare - Dialoghi tecnici”</w:t>
      </w:r>
      <w:r w:rsidRPr="00367565">
        <w:rPr>
          <w:rFonts w:asciiTheme="majorHAnsi" w:hAnsiTheme="majorHAnsi" w:cs="Tahoma"/>
          <w:sz w:val="22"/>
          <w:szCs w:val="22"/>
        </w:rPr>
        <w:t>.</w:t>
      </w:r>
    </w:p>
    <w:p w:rsidR="00930D99" w:rsidRPr="00367565" w:rsidRDefault="00930D99" w:rsidP="00930D99">
      <w:pPr>
        <w:contextualSpacing/>
        <w:jc w:val="both"/>
        <w:rPr>
          <w:rFonts w:asciiTheme="majorHAnsi" w:hAnsiTheme="majorHAnsi"/>
          <w:color w:val="000000"/>
          <w:sz w:val="22"/>
          <w:szCs w:val="22"/>
          <w:u w:val="single"/>
        </w:rPr>
      </w:pPr>
    </w:p>
    <w:p w:rsidR="00930D99" w:rsidRPr="0091523C" w:rsidRDefault="00930D99" w:rsidP="00930D99">
      <w:pPr>
        <w:contextualSpacing/>
        <w:jc w:val="both"/>
        <w:rPr>
          <w:rFonts w:asciiTheme="majorHAnsi" w:hAnsiTheme="majorHAnsi" w:cs="Tahoma"/>
          <w:b/>
          <w:sz w:val="22"/>
          <w:szCs w:val="22"/>
        </w:rPr>
      </w:pPr>
      <w:r w:rsidRPr="00367565">
        <w:rPr>
          <w:rFonts w:asciiTheme="majorHAnsi" w:hAnsiTheme="majorHAnsi" w:cs="Tahoma"/>
          <w:b/>
          <w:sz w:val="22"/>
          <w:szCs w:val="22"/>
        </w:rPr>
        <w:t xml:space="preserve">Gli operatori economici potranno formulare i propri contributi/osservazioni ai documenti pubblicati, esclusivamente </w:t>
      </w:r>
      <w:r w:rsidRPr="00367565">
        <w:rPr>
          <w:rFonts w:asciiTheme="majorHAnsi" w:hAnsiTheme="majorHAnsi" w:cs="Tahoma"/>
          <w:b/>
          <w:sz w:val="22"/>
          <w:szCs w:val="22"/>
          <w:u w:val="single"/>
        </w:rPr>
        <w:t>per iscritto</w:t>
      </w:r>
      <w:r w:rsidRPr="00367565">
        <w:rPr>
          <w:rFonts w:asciiTheme="majorHAnsi" w:hAnsiTheme="majorHAnsi" w:cs="Tahoma"/>
          <w:b/>
          <w:sz w:val="22"/>
          <w:szCs w:val="22"/>
        </w:rPr>
        <w:t xml:space="preserve"> entro </w:t>
      </w:r>
      <w:r w:rsidRPr="0091523C">
        <w:rPr>
          <w:rFonts w:asciiTheme="majorHAnsi" w:hAnsiTheme="majorHAnsi" w:cs="Tahoma"/>
          <w:b/>
          <w:sz w:val="22"/>
          <w:szCs w:val="22"/>
        </w:rPr>
        <w:t xml:space="preserve">il giorno </w:t>
      </w:r>
      <w:r w:rsidR="0091523C">
        <w:rPr>
          <w:rFonts w:asciiTheme="majorHAnsi" w:hAnsiTheme="majorHAnsi" w:cs="Tahoma"/>
          <w:b/>
          <w:sz w:val="22"/>
          <w:szCs w:val="22"/>
        </w:rPr>
        <w:t>15/11/2016 ore 12.00</w:t>
      </w:r>
      <w:r w:rsidRPr="00367565">
        <w:rPr>
          <w:rFonts w:asciiTheme="majorHAnsi" w:hAnsiTheme="majorHAnsi" w:cs="Tahoma"/>
          <w:b/>
          <w:sz w:val="22"/>
          <w:szCs w:val="22"/>
        </w:rPr>
        <w:t xml:space="preserve"> al seguente indirizzo PEC: </w:t>
      </w:r>
      <w:hyperlink r:id="rId11" w:history="1">
        <w:r w:rsidRPr="00367565">
          <w:rPr>
            <w:rStyle w:val="Collegamentoipertestuale"/>
            <w:rFonts w:asciiTheme="majorHAnsi" w:hAnsiTheme="majorHAnsi" w:cs="Tahoma"/>
            <w:sz w:val="22"/>
            <w:szCs w:val="22"/>
          </w:rPr>
          <w:t>egas.protgen@certsanita.fvg.it</w:t>
        </w:r>
      </w:hyperlink>
      <w:r w:rsidR="0091523C">
        <w:rPr>
          <w:sz w:val="22"/>
          <w:szCs w:val="22"/>
        </w:rPr>
        <w:t xml:space="preserve"> </w:t>
      </w:r>
      <w:r w:rsidR="0091523C" w:rsidRPr="0091523C">
        <w:rPr>
          <w:rFonts w:asciiTheme="majorHAnsi" w:hAnsiTheme="majorHAnsi" w:cs="Tahoma"/>
          <w:b/>
          <w:sz w:val="22"/>
          <w:szCs w:val="22"/>
        </w:rPr>
        <w:t>allegando eventuali schede tecniche aggiornate a supporto di quanto asserito</w:t>
      </w:r>
    </w:p>
    <w:p w:rsidR="00930D99" w:rsidRPr="00367565" w:rsidRDefault="00930D99" w:rsidP="00930D99">
      <w:pPr>
        <w:contextualSpacing/>
        <w:jc w:val="both"/>
        <w:rPr>
          <w:rFonts w:asciiTheme="majorHAnsi" w:hAnsiTheme="majorHAnsi" w:cs="Tahoma"/>
          <w:sz w:val="22"/>
          <w:szCs w:val="22"/>
        </w:rPr>
      </w:pPr>
    </w:p>
    <w:p w:rsidR="00930D99" w:rsidRPr="00367565" w:rsidRDefault="00930D99" w:rsidP="00930D99">
      <w:pPr>
        <w:contextualSpacing/>
        <w:jc w:val="both"/>
        <w:rPr>
          <w:rFonts w:asciiTheme="majorHAnsi" w:hAnsiTheme="majorHAnsi" w:cs="Tahoma"/>
          <w:sz w:val="22"/>
          <w:szCs w:val="22"/>
        </w:rPr>
      </w:pPr>
      <w:r w:rsidRPr="00367565">
        <w:rPr>
          <w:rFonts w:asciiTheme="majorHAnsi" w:hAnsiTheme="majorHAnsi" w:cs="Tahoma"/>
          <w:sz w:val="22"/>
          <w:szCs w:val="22"/>
        </w:rPr>
        <w:t>L’EGAS valuterà se accogliere o meno le osservazioni ed i contributi formulati dagli operatori economici. In caso di accoglimento delle osservazioni formulate la documentazione potrà quindi subire delle modifiche.</w:t>
      </w:r>
    </w:p>
    <w:p w:rsidR="00930D99" w:rsidRPr="00367565" w:rsidRDefault="00930D99" w:rsidP="00930D99">
      <w:pPr>
        <w:contextualSpacing/>
        <w:jc w:val="both"/>
        <w:rPr>
          <w:rFonts w:asciiTheme="majorHAnsi" w:hAnsiTheme="majorHAnsi" w:cs="Tahoma"/>
          <w:sz w:val="22"/>
          <w:szCs w:val="22"/>
        </w:rPr>
      </w:pPr>
    </w:p>
    <w:p w:rsidR="00930D99" w:rsidRPr="00367565" w:rsidRDefault="00930D99" w:rsidP="00930D99">
      <w:pPr>
        <w:contextualSpacing/>
        <w:jc w:val="both"/>
        <w:rPr>
          <w:rFonts w:asciiTheme="majorHAnsi" w:hAnsiTheme="majorHAnsi" w:cs="Tahoma"/>
          <w:sz w:val="22"/>
          <w:szCs w:val="22"/>
        </w:rPr>
      </w:pPr>
      <w:r w:rsidRPr="00367565">
        <w:rPr>
          <w:rFonts w:asciiTheme="majorHAnsi" w:hAnsiTheme="majorHAnsi" w:cs="Tahoma"/>
          <w:sz w:val="22"/>
          <w:szCs w:val="22"/>
        </w:rPr>
        <w:t xml:space="preserve">Le risposte alle osservazioni/contributi formulati dalle imprese e saranno pubblicati sul sito </w:t>
      </w:r>
      <w:hyperlink r:id="rId12" w:history="1">
        <w:r w:rsidRPr="00367565">
          <w:rPr>
            <w:rFonts w:asciiTheme="majorHAnsi" w:hAnsiTheme="majorHAnsi"/>
            <w:sz w:val="22"/>
            <w:szCs w:val="22"/>
          </w:rPr>
          <w:t>www.egas.sanita.fvg.it</w:t>
        </w:r>
      </w:hyperlink>
      <w:r w:rsidRPr="00367565">
        <w:rPr>
          <w:rFonts w:asciiTheme="majorHAnsi" w:hAnsiTheme="majorHAnsi" w:cs="Tahoma"/>
          <w:sz w:val="22"/>
          <w:szCs w:val="22"/>
        </w:rPr>
        <w:t xml:space="preserve"> alla voce “Bandi e Gare - Dialoghi tecnici”.</w:t>
      </w:r>
    </w:p>
    <w:p w:rsidR="00930D99" w:rsidRPr="00367565" w:rsidRDefault="00930D99" w:rsidP="00930D99">
      <w:pPr>
        <w:contextualSpacing/>
        <w:jc w:val="both"/>
        <w:rPr>
          <w:rFonts w:asciiTheme="majorHAnsi" w:hAnsiTheme="majorHAnsi" w:cs="Tahoma"/>
          <w:sz w:val="22"/>
          <w:szCs w:val="22"/>
        </w:rPr>
      </w:pPr>
    </w:p>
    <w:p w:rsidR="00930D99" w:rsidRPr="00367565" w:rsidRDefault="00930D99" w:rsidP="00930D99">
      <w:pPr>
        <w:contextualSpacing/>
        <w:jc w:val="both"/>
        <w:rPr>
          <w:rFonts w:asciiTheme="majorHAnsi" w:hAnsiTheme="majorHAnsi" w:cs="Tahoma"/>
          <w:sz w:val="22"/>
          <w:szCs w:val="22"/>
        </w:rPr>
      </w:pPr>
      <w:r w:rsidRPr="00367565">
        <w:rPr>
          <w:rFonts w:asciiTheme="majorHAnsi" w:hAnsiTheme="majorHAnsi" w:cs="Tahoma"/>
          <w:sz w:val="22"/>
          <w:szCs w:val="22"/>
        </w:rPr>
        <w:t>Verrà dato atto dell’esito del dialogo tecnico in sede di indizione alla gara.</w:t>
      </w:r>
    </w:p>
    <w:p w:rsidR="00930D99" w:rsidRPr="00367565" w:rsidRDefault="00930D99" w:rsidP="00930D99">
      <w:pPr>
        <w:contextualSpacing/>
        <w:jc w:val="both"/>
        <w:rPr>
          <w:rFonts w:asciiTheme="majorHAnsi" w:hAnsiTheme="majorHAnsi" w:cs="Tahoma"/>
          <w:sz w:val="22"/>
          <w:szCs w:val="22"/>
        </w:rPr>
      </w:pPr>
    </w:p>
    <w:p w:rsidR="00367565" w:rsidRDefault="00367565">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30D99" w:rsidRPr="00367565" w:rsidRDefault="00930D99" w:rsidP="007B1941">
      <w:pPr>
        <w:spacing w:after="200"/>
        <w:contextualSpacing/>
        <w:rPr>
          <w:rFonts w:asciiTheme="majorHAnsi" w:hAnsiTheme="majorHAnsi" w:cs="Tahoma"/>
          <w:sz w:val="22"/>
          <w:szCs w:val="22"/>
        </w:rPr>
      </w:pPr>
    </w:p>
    <w:p w:rsidR="007B1941" w:rsidRPr="005D5727" w:rsidRDefault="007B1941" w:rsidP="007B1941">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7B1941" w:rsidRPr="00E40A39" w:rsidRDefault="007B1941" w:rsidP="007B1941">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CC5037">
        <w:rPr>
          <w:rFonts w:asciiTheme="majorHAnsi" w:hAnsiTheme="majorHAnsi" w:cs="Tahoma"/>
          <w:sz w:val="40"/>
          <w:szCs w:val="40"/>
        </w:rPr>
        <w:t>SOLUZIONI INFUSIONALI</w:t>
      </w:r>
    </w:p>
    <w:p w:rsidR="007B1941" w:rsidRPr="005D5727" w:rsidRDefault="007B1941" w:rsidP="007B1941">
      <w:pPr>
        <w:pStyle w:val="Corpodeltesto2"/>
        <w:spacing w:after="0" w:line="240" w:lineRule="auto"/>
        <w:contextualSpacing/>
        <w:jc w:val="center"/>
        <w:rPr>
          <w:rFonts w:asciiTheme="majorHAnsi" w:hAnsiTheme="majorHAnsi" w:cs="Tahoma"/>
          <w:b/>
          <w:sz w:val="22"/>
          <w:szCs w:val="22"/>
        </w:rPr>
      </w:pPr>
    </w:p>
    <w:p w:rsidR="007B1941" w:rsidRDefault="007B1941" w:rsidP="007B1941">
      <w:pPr>
        <w:pStyle w:val="Corpodeltesto2"/>
        <w:spacing w:after="0" w:line="240" w:lineRule="auto"/>
        <w:contextualSpacing/>
        <w:rPr>
          <w:rFonts w:asciiTheme="majorHAnsi" w:hAnsiTheme="majorHAnsi" w:cs="Tahoma"/>
          <w:b/>
          <w:sz w:val="22"/>
          <w:szCs w:val="22"/>
        </w:rPr>
      </w:pPr>
    </w:p>
    <w:p w:rsidR="007B1941" w:rsidRPr="005D5727" w:rsidRDefault="007B1941" w:rsidP="007B1941">
      <w:pPr>
        <w:pStyle w:val="Corpodeltesto2"/>
        <w:spacing w:after="0" w:line="240" w:lineRule="auto"/>
        <w:contextualSpacing/>
        <w:rPr>
          <w:rFonts w:asciiTheme="majorHAnsi" w:hAnsiTheme="majorHAnsi" w:cs="Tahoma"/>
          <w:b/>
          <w:sz w:val="22"/>
          <w:szCs w:val="22"/>
        </w:rPr>
      </w:pPr>
    </w:p>
    <w:p w:rsidR="00484F19" w:rsidRPr="007B1941" w:rsidRDefault="007B1941" w:rsidP="00536864">
      <w:pPr>
        <w:jc w:val="both"/>
        <w:rPr>
          <w:rFonts w:ascii="Cambria" w:hAnsi="Cambria"/>
          <w:b/>
          <w:sz w:val="22"/>
          <w:szCs w:val="22"/>
          <w:u w:val="single"/>
        </w:rPr>
      </w:pPr>
      <w:r w:rsidRPr="00755DF7">
        <w:rPr>
          <w:rFonts w:ascii="Cambria" w:hAnsi="Cambria" w:cs="Tahoma"/>
          <w:sz w:val="22"/>
          <w:szCs w:val="22"/>
        </w:rPr>
        <w:t xml:space="preserve"> </w:t>
      </w:r>
      <w:r w:rsidR="00484F19" w:rsidRPr="007B1941">
        <w:rPr>
          <w:rFonts w:ascii="Cambria" w:hAnsi="Cambria"/>
          <w:b/>
          <w:sz w:val="22"/>
          <w:szCs w:val="22"/>
          <w:u w:val="single"/>
        </w:rPr>
        <w:t>SPECIFICHE TECNICHE DEI LOTTI:</w:t>
      </w:r>
    </w:p>
    <w:p w:rsidR="00484F19" w:rsidRPr="007B1941" w:rsidRDefault="00484F19" w:rsidP="00484F19">
      <w:pPr>
        <w:pStyle w:val="Corpodeltesto2"/>
        <w:spacing w:after="0" w:line="240" w:lineRule="auto"/>
        <w:rPr>
          <w:rFonts w:ascii="Cambria" w:hAnsi="Cambria" w:cs="Tahoma"/>
          <w:b/>
          <w:sz w:val="22"/>
          <w:szCs w:val="22"/>
        </w:rPr>
      </w:pPr>
    </w:p>
    <w:p w:rsidR="00484F19" w:rsidRPr="007B1941" w:rsidRDefault="00484F19" w:rsidP="00484F19">
      <w:pPr>
        <w:pStyle w:val="Corpodeltesto2"/>
        <w:spacing w:after="0" w:line="240" w:lineRule="auto"/>
        <w:rPr>
          <w:rFonts w:ascii="Cambria" w:hAnsi="Cambria" w:cs="Tahoma"/>
          <w:b/>
          <w:sz w:val="22"/>
          <w:szCs w:val="22"/>
        </w:rPr>
      </w:pPr>
    </w:p>
    <w:p w:rsidR="00484F19" w:rsidRDefault="00484F19" w:rsidP="00484F19">
      <w:pPr>
        <w:jc w:val="both"/>
        <w:rPr>
          <w:rFonts w:ascii="Cambria" w:hAnsi="Cambria" w:cs="Tahoma"/>
          <w:b/>
          <w:sz w:val="22"/>
          <w:szCs w:val="22"/>
        </w:rPr>
      </w:pPr>
      <w:r w:rsidRPr="007B1941">
        <w:rPr>
          <w:rFonts w:ascii="Cambria" w:hAnsi="Cambria" w:cs="Tahoma"/>
          <w:b/>
          <w:sz w:val="22"/>
          <w:szCs w:val="22"/>
        </w:rPr>
        <w:t xml:space="preserve">REQUISITI MINIMI GENERALI DEI PRODOTTI IN GARA </w:t>
      </w:r>
    </w:p>
    <w:p w:rsidR="00404D70" w:rsidRPr="007B1941" w:rsidRDefault="00404D70" w:rsidP="00484F19">
      <w:pPr>
        <w:jc w:val="both"/>
        <w:rPr>
          <w:rFonts w:ascii="Cambria" w:hAnsi="Cambria" w:cs="Tahoma"/>
          <w:b/>
          <w:sz w:val="22"/>
          <w:szCs w:val="22"/>
        </w:rPr>
      </w:pPr>
    </w:p>
    <w:p w:rsidR="00484F19" w:rsidRPr="00404D70" w:rsidRDefault="00484F19" w:rsidP="00484F19">
      <w:pPr>
        <w:jc w:val="both"/>
        <w:rPr>
          <w:rFonts w:ascii="Cambria" w:hAnsi="Cambria" w:cs="Tahoma"/>
          <w:b/>
          <w:sz w:val="22"/>
          <w:szCs w:val="22"/>
        </w:rPr>
      </w:pPr>
      <w:r w:rsidRPr="00404D70">
        <w:rPr>
          <w:rFonts w:ascii="Cambria" w:hAnsi="Cambria" w:cs="Tahoma"/>
          <w:b/>
          <w:sz w:val="22"/>
          <w:szCs w:val="22"/>
        </w:rPr>
        <w:t>I prodotti per infusione dovranno essere registrati come farmaci (pertanto dotati di AIC), i prodotti per irrigazione potranno essere registrati sia come farmaci che come dispositivi medici (pertanto saranno ritenuti idonei sia prodotti con AIC che con marchio CE).</w:t>
      </w:r>
    </w:p>
    <w:p w:rsidR="00484F19" w:rsidRPr="007B1941" w:rsidRDefault="00484F19" w:rsidP="00484F19">
      <w:pPr>
        <w:jc w:val="both"/>
        <w:rPr>
          <w:rFonts w:ascii="Cambria" w:hAnsi="Cambria" w:cs="Tahoma"/>
          <w:sz w:val="22"/>
          <w:szCs w:val="22"/>
        </w:rPr>
      </w:pPr>
    </w:p>
    <w:p w:rsidR="0095386E" w:rsidRDefault="0095386E" w:rsidP="00484F19">
      <w:pPr>
        <w:jc w:val="both"/>
        <w:rPr>
          <w:rFonts w:ascii="Cambria" w:hAnsi="Cambria" w:cs="Tahoma"/>
          <w:sz w:val="22"/>
          <w:szCs w:val="22"/>
        </w:rPr>
      </w:pPr>
      <w:r>
        <w:rPr>
          <w:rFonts w:ascii="Cambria" w:hAnsi="Cambria" w:cs="Tahoma"/>
          <w:sz w:val="22"/>
          <w:szCs w:val="22"/>
        </w:rPr>
        <w:t>P</w:t>
      </w:r>
      <w:r w:rsidRPr="0095386E">
        <w:rPr>
          <w:rFonts w:ascii="Cambria" w:hAnsi="Cambria" w:cs="Tahoma"/>
          <w:sz w:val="22"/>
          <w:szCs w:val="22"/>
        </w:rPr>
        <w:t>er il lotto 21</w:t>
      </w:r>
      <w:r>
        <w:rPr>
          <w:rFonts w:ascii="Cambria" w:hAnsi="Cambria" w:cs="Tahoma"/>
          <w:sz w:val="22"/>
          <w:szCs w:val="22"/>
        </w:rPr>
        <w:t>:</w:t>
      </w:r>
      <w:r w:rsidRPr="0095386E">
        <w:rPr>
          <w:rFonts w:ascii="Cambria" w:hAnsi="Cambria" w:cs="Tahoma"/>
          <w:sz w:val="22"/>
          <w:szCs w:val="22"/>
        </w:rPr>
        <w:t xml:space="preserve"> </w:t>
      </w:r>
      <w:r>
        <w:rPr>
          <w:rFonts w:ascii="Cambria" w:hAnsi="Cambria" w:cs="Tahoma"/>
          <w:sz w:val="22"/>
          <w:szCs w:val="22"/>
        </w:rPr>
        <w:t xml:space="preserve">deve essere acclusa la </w:t>
      </w:r>
      <w:r w:rsidRPr="0095386E">
        <w:rPr>
          <w:rFonts w:ascii="Cambria" w:hAnsi="Cambria" w:cs="Tahoma"/>
          <w:sz w:val="22"/>
          <w:szCs w:val="22"/>
        </w:rPr>
        <w:t>documentazione con dati di compatibilità (sacca e contenuto rispetto al farmaco). Volume residuo minimo di svuotamento non deve essere superiore al 5% del volume nominale. Il punto di perforazione in polimero doppia via deve avere porta di accesso rigida che permetta una connessio</w:t>
      </w:r>
      <w:r>
        <w:rPr>
          <w:rFonts w:ascii="Cambria" w:hAnsi="Cambria" w:cs="Tahoma"/>
          <w:sz w:val="22"/>
          <w:szCs w:val="22"/>
        </w:rPr>
        <w:t>ne asettica sicura.</w:t>
      </w:r>
    </w:p>
    <w:p w:rsidR="0095386E" w:rsidRDefault="0095386E" w:rsidP="00484F19">
      <w:pPr>
        <w:jc w:val="both"/>
        <w:rPr>
          <w:rFonts w:ascii="Cambria" w:hAnsi="Cambria" w:cs="Tahoma"/>
          <w:sz w:val="22"/>
          <w:szCs w:val="22"/>
        </w:rPr>
      </w:pPr>
    </w:p>
    <w:p w:rsidR="00484F19" w:rsidRPr="007B1941" w:rsidRDefault="00484F19" w:rsidP="00484F19">
      <w:pPr>
        <w:jc w:val="both"/>
        <w:rPr>
          <w:rFonts w:ascii="Cambria" w:hAnsi="Cambria" w:cs="Tahoma"/>
          <w:b/>
          <w:sz w:val="22"/>
          <w:szCs w:val="22"/>
        </w:rPr>
      </w:pPr>
      <w:r w:rsidRPr="007B1941">
        <w:rPr>
          <w:rFonts w:ascii="Cambria" w:hAnsi="Cambria" w:cs="Tahoma"/>
          <w:sz w:val="22"/>
          <w:szCs w:val="22"/>
        </w:rPr>
        <w:t xml:space="preserve">Qualora, all’interno di un medesimo lotto, </w:t>
      </w:r>
      <w:r w:rsidRPr="007B1941">
        <w:rPr>
          <w:rFonts w:ascii="Cambria" w:hAnsi="Cambria" w:cs="Tahoma"/>
          <w:b/>
          <w:sz w:val="22"/>
          <w:szCs w:val="22"/>
          <w:u w:val="single"/>
        </w:rPr>
        <w:t>nessuna delle offerte presentate</w:t>
      </w:r>
      <w:r w:rsidRPr="007B1941">
        <w:rPr>
          <w:rFonts w:ascii="Cambria" w:hAnsi="Cambria" w:cs="Tahoma"/>
          <w:sz w:val="22"/>
          <w:szCs w:val="22"/>
        </w:rPr>
        <w:t xml:space="preserve"> possedesse le caratteristiche sopra riportate, saranno considerati idonei </w:t>
      </w:r>
      <w:r w:rsidRPr="007B1941">
        <w:rPr>
          <w:rFonts w:ascii="Cambria" w:hAnsi="Cambria" w:cs="Tahoma"/>
          <w:b/>
          <w:sz w:val="22"/>
          <w:szCs w:val="22"/>
        </w:rPr>
        <w:t>prodotti richiedibili con assunzione di responsabilità all’utilizzo firmata dal medico richiedente</w:t>
      </w:r>
      <w:r w:rsidR="00BC7E84" w:rsidRPr="00BC7E84">
        <w:rPr>
          <w:rFonts w:ascii="Cambria" w:hAnsi="Cambria" w:cs="Tahoma"/>
          <w:sz w:val="22"/>
          <w:szCs w:val="22"/>
        </w:rPr>
        <w:t xml:space="preserve">, </w:t>
      </w:r>
      <w:r w:rsidR="00BC7E84">
        <w:rPr>
          <w:rFonts w:ascii="Cambria" w:hAnsi="Cambria" w:cs="Tahoma"/>
          <w:sz w:val="22"/>
          <w:szCs w:val="22"/>
        </w:rPr>
        <w:t xml:space="preserve">pertanto </w:t>
      </w:r>
      <w:r w:rsidR="00BC7E84" w:rsidRPr="00BC7E84">
        <w:rPr>
          <w:rFonts w:ascii="Cambria" w:hAnsi="Cambria" w:cs="Tahoma"/>
          <w:sz w:val="22"/>
          <w:szCs w:val="22"/>
        </w:rPr>
        <w:t>senza AIC o</w:t>
      </w:r>
      <w:r w:rsidR="00BC7E84">
        <w:rPr>
          <w:rFonts w:ascii="Cambria" w:hAnsi="Cambria" w:cs="Tahoma"/>
          <w:sz w:val="22"/>
          <w:szCs w:val="22"/>
        </w:rPr>
        <w:t xml:space="preserve"> </w:t>
      </w:r>
      <w:r w:rsidR="00BC7E84" w:rsidRPr="007B1941">
        <w:rPr>
          <w:rFonts w:ascii="Cambria" w:hAnsi="Cambria" w:cs="Tahoma"/>
          <w:sz w:val="22"/>
          <w:szCs w:val="22"/>
        </w:rPr>
        <w:t>marchio CE</w:t>
      </w:r>
      <w:r w:rsidR="00BC7E84">
        <w:rPr>
          <w:rFonts w:ascii="Cambria" w:hAnsi="Cambria" w:cs="Tahoma"/>
          <w:sz w:val="22"/>
          <w:szCs w:val="22"/>
        </w:rPr>
        <w:t>.</w:t>
      </w:r>
    </w:p>
    <w:p w:rsidR="00484F19" w:rsidRPr="007B1941" w:rsidRDefault="00484F19" w:rsidP="00484F19">
      <w:pPr>
        <w:rPr>
          <w:rFonts w:ascii="Cambria" w:hAnsi="Cambria" w:cs="Tahoma"/>
          <w:b/>
          <w:sz w:val="22"/>
          <w:szCs w:val="22"/>
        </w:rPr>
      </w:pPr>
    </w:p>
    <w:p w:rsidR="00484F19" w:rsidRPr="007B1941" w:rsidRDefault="00484F19" w:rsidP="00484F19">
      <w:pPr>
        <w:pStyle w:val="Corpodeltesto"/>
        <w:rPr>
          <w:rFonts w:ascii="Cambria" w:hAnsi="Cambria" w:cs="Tahoma"/>
          <w:iCs/>
          <w:sz w:val="22"/>
          <w:szCs w:val="22"/>
        </w:rPr>
      </w:pPr>
      <w:r w:rsidRPr="007B1941">
        <w:rPr>
          <w:rFonts w:ascii="Cambria" w:hAnsi="Cambria" w:cs="Tahoma"/>
          <w:b/>
          <w:bCs/>
          <w:iCs/>
          <w:sz w:val="22"/>
          <w:szCs w:val="22"/>
        </w:rPr>
        <w:t>Le SOLUZIONI INFUSIONALI</w:t>
      </w:r>
      <w:r w:rsidRPr="007B1941">
        <w:rPr>
          <w:rFonts w:ascii="Cambria" w:hAnsi="Cambria" w:cs="Tahoma"/>
          <w:iCs/>
          <w:sz w:val="22"/>
          <w:szCs w:val="22"/>
        </w:rPr>
        <w:t xml:space="preserve"> devono avere i requisiti previsti dalla vigente Farmacopea Ufficiale </w:t>
      </w:r>
      <w:r w:rsidR="00BC7E84">
        <w:rPr>
          <w:rFonts w:ascii="Cambria" w:hAnsi="Cambria" w:cs="Tahoma"/>
          <w:iCs/>
          <w:sz w:val="22"/>
          <w:szCs w:val="22"/>
        </w:rPr>
        <w:t xml:space="preserve">XII Edizione </w:t>
      </w:r>
      <w:r w:rsidRPr="007B1941">
        <w:rPr>
          <w:rFonts w:ascii="Cambria" w:hAnsi="Cambria" w:cs="Tahoma"/>
          <w:iCs/>
          <w:sz w:val="22"/>
          <w:szCs w:val="22"/>
        </w:rPr>
        <w:t>alle voci:</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preparazioni parenterali;</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sterilità</w:t>
      </w:r>
      <w:r w:rsidR="00F5606F">
        <w:rPr>
          <w:rFonts w:ascii="Cambria" w:hAnsi="Cambria" w:cs="Tahoma"/>
          <w:sz w:val="22"/>
          <w:szCs w:val="22"/>
        </w:rPr>
        <w:t xml:space="preserve"> e </w:t>
      </w:r>
      <w:proofErr w:type="spellStart"/>
      <w:r w:rsidR="00F5606F">
        <w:rPr>
          <w:rFonts w:ascii="Cambria" w:hAnsi="Cambria" w:cs="Tahoma"/>
          <w:sz w:val="22"/>
          <w:szCs w:val="22"/>
        </w:rPr>
        <w:t>apirogenicità</w:t>
      </w:r>
      <w:proofErr w:type="spellEnd"/>
      <w:r w:rsidRPr="007B1941">
        <w:rPr>
          <w:rFonts w:ascii="Cambria" w:hAnsi="Cambria" w:cs="Tahoma"/>
          <w:sz w:val="22"/>
          <w:szCs w:val="22"/>
        </w:rPr>
        <w:t>;</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uniformità di contenuto delle forme farmaceutiche a dose unica;</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chiusure in materiale elastomero per contenitori per medicamenti infusionali;</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contenitori di vetro per uso farmaceutico;</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 xml:space="preserve">contenitori di plastica per uso farmaceutico e per soluzioni </w:t>
      </w:r>
      <w:proofErr w:type="spellStart"/>
      <w:r w:rsidRPr="007B1941">
        <w:rPr>
          <w:rFonts w:ascii="Cambria" w:hAnsi="Cambria" w:cs="Tahoma"/>
          <w:sz w:val="22"/>
          <w:szCs w:val="22"/>
        </w:rPr>
        <w:t>perfusionali</w:t>
      </w:r>
      <w:proofErr w:type="spellEnd"/>
      <w:r w:rsidRPr="007B1941">
        <w:rPr>
          <w:rFonts w:ascii="Cambria" w:hAnsi="Cambria" w:cs="Tahoma"/>
          <w:sz w:val="22"/>
          <w:szCs w:val="22"/>
        </w:rPr>
        <w:t>;</w:t>
      </w:r>
    </w:p>
    <w:p w:rsidR="00484F19" w:rsidRPr="007B1941" w:rsidRDefault="00484F19" w:rsidP="00484F19">
      <w:pPr>
        <w:widowControl w:val="0"/>
        <w:numPr>
          <w:ilvl w:val="0"/>
          <w:numId w:val="32"/>
        </w:numPr>
        <w:jc w:val="both"/>
        <w:rPr>
          <w:rFonts w:ascii="Cambria" w:hAnsi="Cambria" w:cs="Tahoma"/>
          <w:sz w:val="22"/>
          <w:szCs w:val="22"/>
        </w:rPr>
      </w:pPr>
      <w:r w:rsidRPr="007B1941">
        <w:rPr>
          <w:rFonts w:ascii="Cambria" w:hAnsi="Cambria" w:cs="Tahoma"/>
          <w:sz w:val="22"/>
          <w:szCs w:val="22"/>
        </w:rPr>
        <w:t>contenitori e chiusure in plastica per uso farmaceutico.</w:t>
      </w:r>
    </w:p>
    <w:p w:rsidR="00484F19" w:rsidRPr="007B1941" w:rsidRDefault="00484F19" w:rsidP="00484F19">
      <w:pPr>
        <w:pStyle w:val="Corpodeltesto"/>
        <w:rPr>
          <w:rFonts w:ascii="Cambria" w:hAnsi="Cambria" w:cs="Tahoma"/>
          <w:sz w:val="22"/>
          <w:szCs w:val="22"/>
        </w:rPr>
      </w:pPr>
    </w:p>
    <w:p w:rsidR="00484F19" w:rsidRPr="007B1941" w:rsidRDefault="00484F19" w:rsidP="00484F19">
      <w:pPr>
        <w:pStyle w:val="Corpodeltesto"/>
        <w:rPr>
          <w:rFonts w:ascii="Cambria" w:hAnsi="Cambria" w:cs="Tahoma"/>
          <w:iCs/>
          <w:sz w:val="22"/>
          <w:szCs w:val="22"/>
        </w:rPr>
      </w:pPr>
      <w:r w:rsidRPr="007B1941">
        <w:rPr>
          <w:rFonts w:ascii="Cambria" w:hAnsi="Cambria" w:cs="Tahoma"/>
          <w:iCs/>
          <w:sz w:val="22"/>
          <w:szCs w:val="22"/>
        </w:rPr>
        <w:t>Tali preparazioni non devono contenere sostanze antimicrobiche, solubilizzanti, stabilizzanti; non devono essere tamponate, salvo casi particolari menzionati nelle singole monografie, e devono corrispondere ai requisiti di pH, osmolarità e di definizione delle etichette previsti in F.U. XI</w:t>
      </w:r>
      <w:r w:rsidR="00BC7E84">
        <w:rPr>
          <w:rFonts w:ascii="Cambria" w:hAnsi="Cambria" w:cs="Tahoma"/>
          <w:iCs/>
          <w:sz w:val="22"/>
          <w:szCs w:val="22"/>
        </w:rPr>
        <w:t>I</w:t>
      </w:r>
      <w:r w:rsidRPr="007B1941">
        <w:rPr>
          <w:rFonts w:ascii="Cambria" w:hAnsi="Cambria" w:cs="Tahoma"/>
          <w:iCs/>
          <w:sz w:val="22"/>
          <w:szCs w:val="22"/>
        </w:rPr>
        <w:t xml:space="preserve"> </w:t>
      </w:r>
      <w:r w:rsidR="00BC7E84">
        <w:rPr>
          <w:rFonts w:ascii="Cambria" w:hAnsi="Cambria" w:cs="Tahoma"/>
          <w:iCs/>
          <w:sz w:val="22"/>
          <w:szCs w:val="22"/>
        </w:rPr>
        <w:t>Edizione</w:t>
      </w:r>
      <w:r w:rsidRPr="007B1941">
        <w:rPr>
          <w:rFonts w:ascii="Cambria" w:hAnsi="Cambria" w:cs="Tahoma"/>
          <w:iCs/>
          <w:sz w:val="22"/>
          <w:szCs w:val="22"/>
        </w:rPr>
        <w:t>.</w:t>
      </w:r>
    </w:p>
    <w:p w:rsidR="00484F19" w:rsidRPr="007B1941" w:rsidRDefault="00484F19" w:rsidP="00484F19">
      <w:pPr>
        <w:pStyle w:val="Corpodeltesto"/>
        <w:rPr>
          <w:rFonts w:ascii="Cambria" w:hAnsi="Cambria" w:cs="Tahoma"/>
          <w:sz w:val="22"/>
          <w:szCs w:val="22"/>
        </w:rPr>
      </w:pPr>
    </w:p>
    <w:p w:rsidR="00484F19" w:rsidRPr="007B1941" w:rsidRDefault="00484F19" w:rsidP="00484F19">
      <w:pPr>
        <w:pStyle w:val="Corpodeltesto"/>
        <w:rPr>
          <w:rFonts w:ascii="Cambria" w:hAnsi="Cambria" w:cs="Tahoma"/>
          <w:iCs/>
          <w:sz w:val="22"/>
          <w:szCs w:val="22"/>
        </w:rPr>
      </w:pPr>
      <w:r w:rsidRPr="007B1941">
        <w:rPr>
          <w:rFonts w:ascii="Cambria" w:hAnsi="Cambria" w:cs="Tahoma"/>
          <w:iCs/>
          <w:sz w:val="22"/>
          <w:szCs w:val="22"/>
        </w:rPr>
        <w:t xml:space="preserve">Le </w:t>
      </w:r>
      <w:r w:rsidRPr="007B1941">
        <w:rPr>
          <w:rFonts w:ascii="Cambria" w:hAnsi="Cambria" w:cs="Tahoma"/>
          <w:b/>
          <w:bCs/>
          <w:iCs/>
          <w:sz w:val="22"/>
          <w:szCs w:val="22"/>
        </w:rPr>
        <w:t xml:space="preserve">SOLUZIONI PER IRRIGAZIONE </w:t>
      </w:r>
      <w:r w:rsidRPr="007B1941">
        <w:rPr>
          <w:rFonts w:ascii="Cambria" w:hAnsi="Cambria" w:cs="Tahoma"/>
          <w:iCs/>
          <w:sz w:val="22"/>
          <w:szCs w:val="22"/>
        </w:rPr>
        <w:t>indicate nel presente capitolato, dovranno rispondere ai requisiti indicati alla voce Preparazioni per irrigazioni, della vigente Farmacopea Italiana .</w:t>
      </w:r>
    </w:p>
    <w:p w:rsidR="00484F19" w:rsidRPr="007B1941" w:rsidRDefault="00484F19" w:rsidP="00484F19">
      <w:pPr>
        <w:pStyle w:val="Corpodeltesto"/>
        <w:rPr>
          <w:rFonts w:ascii="Cambria" w:hAnsi="Cambria" w:cs="Tahoma"/>
          <w:sz w:val="22"/>
          <w:szCs w:val="22"/>
        </w:rPr>
      </w:pPr>
    </w:p>
    <w:p w:rsidR="00484F19" w:rsidRPr="007B1941" w:rsidRDefault="00484F19" w:rsidP="00484F19">
      <w:pPr>
        <w:pStyle w:val="Corpodeltesto3"/>
        <w:widowControl w:val="0"/>
        <w:jc w:val="both"/>
        <w:rPr>
          <w:rFonts w:ascii="Cambria" w:hAnsi="Cambria" w:cs="Tahoma"/>
          <w:b/>
          <w:bCs/>
          <w:sz w:val="22"/>
          <w:szCs w:val="22"/>
        </w:rPr>
      </w:pPr>
      <w:r w:rsidRPr="007B1941">
        <w:rPr>
          <w:rFonts w:ascii="Cambria" w:hAnsi="Cambria" w:cs="Tahoma"/>
          <w:b/>
          <w:bCs/>
          <w:sz w:val="22"/>
          <w:szCs w:val="22"/>
        </w:rPr>
        <w:t>I preparati devono rispondere alle norme di buona fabbricazione e di controllo qualità dei medicamenti, alle norme di buona fabbricazione e di controllo qualità delle soluzioni parenterali di grande volume</w:t>
      </w:r>
    </w:p>
    <w:p w:rsidR="00484F19" w:rsidRPr="007B1941" w:rsidRDefault="00484F19" w:rsidP="00484F19">
      <w:pPr>
        <w:pStyle w:val="Titolo2"/>
        <w:jc w:val="both"/>
        <w:rPr>
          <w:rFonts w:ascii="Cambria" w:hAnsi="Cambria"/>
          <w:b w:val="0"/>
          <w:bCs/>
          <w:iCs/>
          <w:sz w:val="22"/>
          <w:szCs w:val="22"/>
        </w:rPr>
      </w:pPr>
      <w:r w:rsidRPr="007B1941">
        <w:rPr>
          <w:rFonts w:ascii="Cambria" w:hAnsi="Cambria"/>
          <w:b w:val="0"/>
          <w:bCs/>
          <w:iCs/>
          <w:sz w:val="22"/>
          <w:szCs w:val="22"/>
        </w:rPr>
        <w:t>Ogni fornitura dovrà essere accompagnata da una certificazione relativa ai risultati dei saggi chimici e biologici firmata dal Responsabile del Servizio controllo-qualità e da una dichiarazione di stabilità e compatibilità con antibiotici e antiblastici indicandone il preciso elenco per la plastica usata per i contenitori, anche a moderato riscaldamento (40-</w:t>
      </w:r>
      <w:smartTag w:uri="urn:schemas-microsoft-com:office:smarttags" w:element="metricconverter">
        <w:smartTagPr>
          <w:attr w:name="ProductID" w:val="45ﾰC"/>
        </w:smartTagPr>
        <w:r w:rsidRPr="007B1941">
          <w:rPr>
            <w:rFonts w:ascii="Cambria" w:hAnsi="Cambria"/>
            <w:b w:val="0"/>
            <w:bCs/>
            <w:iCs/>
            <w:sz w:val="22"/>
            <w:szCs w:val="22"/>
          </w:rPr>
          <w:t>45°C</w:t>
        </w:r>
      </w:smartTag>
      <w:r w:rsidRPr="007B1941">
        <w:rPr>
          <w:rFonts w:ascii="Cambria" w:hAnsi="Cambria"/>
          <w:b w:val="0"/>
          <w:bCs/>
          <w:iCs/>
          <w:sz w:val="22"/>
          <w:szCs w:val="22"/>
        </w:rPr>
        <w:t>).</w:t>
      </w:r>
    </w:p>
    <w:p w:rsidR="00484F19" w:rsidRPr="007B1941" w:rsidRDefault="00484F19" w:rsidP="00484F19">
      <w:pPr>
        <w:jc w:val="both"/>
        <w:rPr>
          <w:rFonts w:ascii="Cambria" w:hAnsi="Cambria" w:cs="Tahoma"/>
          <w:sz w:val="22"/>
          <w:szCs w:val="22"/>
        </w:rPr>
      </w:pPr>
    </w:p>
    <w:p w:rsidR="00484F19" w:rsidRPr="007B1941" w:rsidRDefault="00484F19" w:rsidP="00484F19">
      <w:pPr>
        <w:jc w:val="both"/>
        <w:rPr>
          <w:rFonts w:ascii="Cambria" w:hAnsi="Cambria" w:cs="Tahoma"/>
          <w:b/>
          <w:bCs/>
          <w:sz w:val="22"/>
          <w:szCs w:val="22"/>
        </w:rPr>
      </w:pPr>
      <w:r w:rsidRPr="007B1941">
        <w:rPr>
          <w:rFonts w:ascii="Cambria" w:hAnsi="Cambria" w:cs="Tahoma"/>
          <w:b/>
          <w:bCs/>
          <w:sz w:val="22"/>
          <w:szCs w:val="22"/>
          <w:u w:val="single"/>
        </w:rPr>
        <w:t>CONTENITORI</w:t>
      </w:r>
    </w:p>
    <w:p w:rsidR="00484F19" w:rsidRPr="007B1941" w:rsidRDefault="00484F19" w:rsidP="00484F19">
      <w:pPr>
        <w:jc w:val="both"/>
        <w:rPr>
          <w:rFonts w:ascii="Cambria" w:hAnsi="Cambria" w:cs="Tahoma"/>
          <w:sz w:val="22"/>
          <w:szCs w:val="22"/>
        </w:rPr>
      </w:pPr>
      <w:r w:rsidRPr="007B1941">
        <w:rPr>
          <w:rFonts w:ascii="Cambria" w:hAnsi="Cambria" w:cs="Tahoma"/>
          <w:sz w:val="22"/>
          <w:szCs w:val="22"/>
        </w:rPr>
        <w:t>I contenitori primari devono:</w:t>
      </w:r>
    </w:p>
    <w:p w:rsidR="00484F19" w:rsidRPr="007B1941" w:rsidRDefault="00484F19" w:rsidP="00484F19">
      <w:pPr>
        <w:numPr>
          <w:ilvl w:val="0"/>
          <w:numId w:val="29"/>
        </w:numPr>
        <w:jc w:val="both"/>
        <w:rPr>
          <w:rFonts w:ascii="Cambria" w:hAnsi="Cambria" w:cs="Tahoma"/>
          <w:sz w:val="22"/>
          <w:szCs w:val="22"/>
        </w:rPr>
      </w:pPr>
      <w:r w:rsidRPr="007B1941">
        <w:rPr>
          <w:rFonts w:ascii="Cambria" w:hAnsi="Cambria" w:cs="Tahoma"/>
          <w:sz w:val="22"/>
          <w:szCs w:val="22"/>
        </w:rPr>
        <w:t xml:space="preserve">essere in </w:t>
      </w:r>
      <w:r w:rsidRPr="007B1941">
        <w:rPr>
          <w:rFonts w:ascii="Cambria" w:hAnsi="Cambria" w:cs="Tahoma"/>
          <w:b/>
          <w:bCs/>
          <w:sz w:val="22"/>
          <w:szCs w:val="22"/>
          <w:u w:val="single"/>
        </w:rPr>
        <w:t xml:space="preserve">vetro </w:t>
      </w:r>
      <w:r w:rsidRPr="007B1941">
        <w:rPr>
          <w:rFonts w:ascii="Cambria" w:hAnsi="Cambria" w:cs="Tahoma"/>
          <w:sz w:val="22"/>
          <w:szCs w:val="22"/>
        </w:rPr>
        <w:t>idoneo a contenere preparazioni di tipo iniettabile secondo quanto riportato in F.U. X</w:t>
      </w:r>
      <w:r w:rsidR="00BC7E84">
        <w:rPr>
          <w:rFonts w:ascii="Cambria" w:hAnsi="Cambria" w:cs="Tahoma"/>
          <w:sz w:val="22"/>
          <w:szCs w:val="22"/>
        </w:rPr>
        <w:t>II E</w:t>
      </w:r>
      <w:r w:rsidRPr="007B1941">
        <w:rPr>
          <w:rFonts w:ascii="Cambria" w:hAnsi="Cambria" w:cs="Tahoma"/>
          <w:sz w:val="22"/>
          <w:szCs w:val="22"/>
        </w:rPr>
        <w:t xml:space="preserve">dizione. Oppure essere costituiti in </w:t>
      </w:r>
      <w:r w:rsidRPr="007B1941">
        <w:rPr>
          <w:rFonts w:ascii="Cambria" w:hAnsi="Cambria" w:cs="Tahoma"/>
          <w:b/>
          <w:bCs/>
          <w:sz w:val="22"/>
          <w:szCs w:val="22"/>
          <w:u w:val="single"/>
        </w:rPr>
        <w:t>materiale idoneo</w:t>
      </w:r>
      <w:r w:rsidRPr="007B1941">
        <w:rPr>
          <w:rFonts w:ascii="Cambria" w:hAnsi="Cambria" w:cs="Tahoma"/>
          <w:sz w:val="22"/>
          <w:szCs w:val="22"/>
        </w:rPr>
        <w:t>, come da Farmacopea XI</w:t>
      </w:r>
      <w:r w:rsidR="00BC7E84">
        <w:rPr>
          <w:rFonts w:ascii="Cambria" w:hAnsi="Cambria" w:cs="Tahoma"/>
          <w:sz w:val="22"/>
          <w:szCs w:val="22"/>
        </w:rPr>
        <w:t>I Edizione</w:t>
      </w:r>
      <w:r w:rsidRPr="007B1941">
        <w:rPr>
          <w:rFonts w:ascii="Cambria" w:hAnsi="Cambria" w:cs="Tahoma"/>
          <w:sz w:val="22"/>
          <w:szCs w:val="22"/>
        </w:rPr>
        <w:t xml:space="preserve">, atossico, chimicamente stabile, sufficientemente trasparente per consentire l’ispezione visiva dei contenuti, </w:t>
      </w:r>
      <w:r w:rsidRPr="007B1941">
        <w:rPr>
          <w:rFonts w:ascii="Cambria" w:hAnsi="Cambria" w:cs="Tahoma"/>
          <w:sz w:val="22"/>
          <w:szCs w:val="22"/>
          <w:u w:val="single"/>
        </w:rPr>
        <w:t>completamente esente da PVC</w:t>
      </w:r>
      <w:r w:rsidRPr="007B1941">
        <w:rPr>
          <w:rFonts w:ascii="Cambria" w:hAnsi="Cambria" w:cs="Tahoma"/>
          <w:sz w:val="22"/>
          <w:szCs w:val="22"/>
        </w:rPr>
        <w:t>, svuotabili senza effettuare manovre improprie (</w:t>
      </w:r>
      <w:proofErr w:type="spellStart"/>
      <w:r w:rsidRPr="007B1941">
        <w:rPr>
          <w:rFonts w:ascii="Cambria" w:hAnsi="Cambria" w:cs="Tahoma"/>
          <w:sz w:val="22"/>
          <w:szCs w:val="22"/>
        </w:rPr>
        <w:t>es</w:t>
      </w:r>
      <w:proofErr w:type="spellEnd"/>
      <w:r w:rsidRPr="007B1941">
        <w:rPr>
          <w:rFonts w:ascii="Cambria" w:hAnsi="Cambria" w:cs="Tahoma"/>
          <w:sz w:val="22"/>
          <w:szCs w:val="22"/>
        </w:rPr>
        <w:t>: utilizzo di aghi) resistenti alla trazione e alla pressione, impermeabili all’aria ed al vapore acqueo, privi di lattice;</w:t>
      </w:r>
    </w:p>
    <w:p w:rsidR="00484F19" w:rsidRPr="007B1941" w:rsidRDefault="00484F19" w:rsidP="00484F19">
      <w:pPr>
        <w:numPr>
          <w:ilvl w:val="0"/>
          <w:numId w:val="29"/>
        </w:numPr>
        <w:jc w:val="both"/>
        <w:rPr>
          <w:rFonts w:ascii="Cambria" w:hAnsi="Cambria" w:cs="Tahoma"/>
          <w:sz w:val="22"/>
          <w:szCs w:val="22"/>
        </w:rPr>
      </w:pPr>
      <w:r w:rsidRPr="007B1941">
        <w:rPr>
          <w:rFonts w:ascii="Cambria" w:hAnsi="Cambria" w:cs="Tahoma"/>
          <w:sz w:val="22"/>
          <w:szCs w:val="22"/>
        </w:rPr>
        <w:t>essere in grado di mantenere la posizione verticale in corso di condizionamento e riempimento (per i flaconi), conformati per favorire il completo deflusso della soluzione per gravità.</w:t>
      </w:r>
    </w:p>
    <w:p w:rsidR="00484F19" w:rsidRPr="007B1941" w:rsidRDefault="00484F19" w:rsidP="00484F19">
      <w:pPr>
        <w:numPr>
          <w:ilvl w:val="0"/>
          <w:numId w:val="29"/>
        </w:numPr>
        <w:jc w:val="both"/>
        <w:rPr>
          <w:rFonts w:ascii="Cambria" w:hAnsi="Cambria" w:cs="Tahoma"/>
          <w:sz w:val="22"/>
          <w:szCs w:val="22"/>
        </w:rPr>
      </w:pPr>
      <w:r w:rsidRPr="007B1941">
        <w:rPr>
          <w:rFonts w:ascii="Cambria" w:hAnsi="Cambria" w:cs="Tahoma"/>
          <w:sz w:val="22"/>
          <w:szCs w:val="22"/>
        </w:rPr>
        <w:lastRenderedPageBreak/>
        <w:t>possedere scale di misurazione leggibili anche a flacone capovolto ed avere uno spazio libero per consentire l’eventuale aggiunta di farmaci;</w:t>
      </w:r>
    </w:p>
    <w:p w:rsidR="00484F19" w:rsidRPr="007B1941" w:rsidRDefault="00484F19" w:rsidP="00484F19">
      <w:pPr>
        <w:pStyle w:val="Corpodeltesto2"/>
        <w:numPr>
          <w:ilvl w:val="0"/>
          <w:numId w:val="29"/>
        </w:numPr>
        <w:spacing w:after="0" w:line="240" w:lineRule="auto"/>
        <w:ind w:right="-1"/>
        <w:jc w:val="both"/>
        <w:rPr>
          <w:rFonts w:ascii="Cambria" w:hAnsi="Cambria" w:cs="Tahoma"/>
          <w:sz w:val="22"/>
          <w:szCs w:val="22"/>
        </w:rPr>
      </w:pPr>
      <w:r w:rsidRPr="007B1941">
        <w:rPr>
          <w:rFonts w:ascii="Cambria" w:hAnsi="Cambria" w:cs="Tahoma"/>
          <w:sz w:val="22"/>
          <w:szCs w:val="22"/>
        </w:rPr>
        <w:t>essere muniti di un’ansa esterna di metallo o di plastica o di un supporto in polietilene che permetta di appenderli, in modo sicuro, al momento dell’infusione; in alternativa, possono essere consegnati separatamente idonei supporti riusabili in congruo numero, secondo la specifica richiesta del Servizio di Farmacia.</w:t>
      </w:r>
    </w:p>
    <w:p w:rsidR="00484F19" w:rsidRPr="007B1941" w:rsidRDefault="00484F19" w:rsidP="00484F19">
      <w:pPr>
        <w:pStyle w:val="Rientrocorpodeltesto"/>
        <w:widowControl w:val="0"/>
        <w:numPr>
          <w:ilvl w:val="0"/>
          <w:numId w:val="29"/>
        </w:numPr>
        <w:spacing w:after="0"/>
        <w:jc w:val="both"/>
        <w:rPr>
          <w:rFonts w:ascii="Cambria" w:hAnsi="Cambria" w:cs="Tahoma"/>
          <w:sz w:val="22"/>
          <w:szCs w:val="22"/>
        </w:rPr>
      </w:pPr>
      <w:r w:rsidRPr="007B1941">
        <w:rPr>
          <w:rFonts w:ascii="Cambria" w:hAnsi="Cambria" w:cs="Tahoma"/>
          <w:sz w:val="22"/>
          <w:szCs w:val="22"/>
        </w:rPr>
        <w:t>possedere chiusure in materiale elastomerico, privo di lattice, per medicamenti iniettabili, conformi alle caratteristiche descritte in F.U. XI</w:t>
      </w:r>
      <w:r w:rsidR="00BC7E84">
        <w:rPr>
          <w:rFonts w:ascii="Cambria" w:hAnsi="Cambria" w:cs="Tahoma"/>
          <w:sz w:val="22"/>
          <w:szCs w:val="22"/>
        </w:rPr>
        <w:t>I E</w:t>
      </w:r>
      <w:r w:rsidRPr="007B1941">
        <w:rPr>
          <w:rFonts w:ascii="Cambria" w:hAnsi="Cambria" w:cs="Tahoma"/>
          <w:sz w:val="22"/>
          <w:szCs w:val="22"/>
        </w:rPr>
        <w:t>dizione, protette da apposite ghiere che garantiscano l’ermeticità e provviste di un’idonea protezione (diaframma protettivo) in grado di impedire la contaminazione della superficie esterna dell’elastomero. Tale protezione fungerà da sigillo e dovrà essere rimossa al momento dell’utilizzazione a strappo e che comunque possa essere rimosso senza l’ausilio di eventuali strumenti.</w:t>
      </w:r>
    </w:p>
    <w:p w:rsidR="00484F19" w:rsidRPr="007B1941" w:rsidRDefault="00484F19" w:rsidP="00484F19">
      <w:pPr>
        <w:pStyle w:val="Rientrocorpodeltesto"/>
        <w:ind w:left="720"/>
        <w:rPr>
          <w:rFonts w:ascii="Cambria" w:hAnsi="Cambria" w:cs="Tahoma"/>
          <w:sz w:val="22"/>
          <w:szCs w:val="22"/>
        </w:rPr>
      </w:pPr>
      <w:r w:rsidRPr="007B1941">
        <w:rPr>
          <w:rFonts w:ascii="Cambria" w:hAnsi="Cambria" w:cs="Tahoma"/>
          <w:sz w:val="22"/>
          <w:szCs w:val="22"/>
        </w:rPr>
        <w:t>I materiali plastici ed elastomerici di cui è fatta la chiusura devono essere sufficientemente compatti ed elastici da permettere il passaggio di un ago con il minor distacco possibile di particelle e inoltre garantire che il foro si richiuda dopo l’estrazione dell’ago da 18G e non produca gocciolamento dopo la foratura.</w:t>
      </w:r>
    </w:p>
    <w:p w:rsidR="00484F19" w:rsidRPr="007B1941" w:rsidRDefault="00484F19" w:rsidP="00484F19">
      <w:pPr>
        <w:widowControl w:val="0"/>
        <w:jc w:val="both"/>
        <w:rPr>
          <w:rFonts w:ascii="Cambria" w:hAnsi="Cambria" w:cs="Tahoma"/>
          <w:b/>
          <w:bCs/>
          <w:iCs/>
          <w:sz w:val="22"/>
          <w:szCs w:val="22"/>
          <w:u w:val="single"/>
        </w:rPr>
      </w:pPr>
      <w:r w:rsidRPr="007B1941">
        <w:rPr>
          <w:rFonts w:ascii="Cambria" w:hAnsi="Cambria" w:cs="Tahoma"/>
          <w:b/>
          <w:bCs/>
          <w:iCs/>
          <w:sz w:val="22"/>
          <w:szCs w:val="22"/>
          <w:u w:val="single"/>
        </w:rPr>
        <w:t>SACCHE:</w:t>
      </w:r>
    </w:p>
    <w:p w:rsidR="00484F19" w:rsidRPr="007B1941" w:rsidRDefault="00484F19" w:rsidP="00484F19">
      <w:pPr>
        <w:widowControl w:val="0"/>
        <w:jc w:val="both"/>
        <w:rPr>
          <w:rFonts w:ascii="Cambria" w:hAnsi="Cambria" w:cs="Tahoma"/>
          <w:b/>
          <w:bCs/>
          <w:sz w:val="22"/>
          <w:szCs w:val="22"/>
        </w:rPr>
      </w:pPr>
      <w:r w:rsidRPr="007B1941">
        <w:rPr>
          <w:rFonts w:ascii="Cambria" w:hAnsi="Cambria" w:cs="Tahoma"/>
          <w:sz w:val="22"/>
          <w:szCs w:val="22"/>
        </w:rPr>
        <w:t>I contenitori primari devono:</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essere in materiale plastico rispondente alle caratteristiche descritte in F.U. XI</w:t>
      </w:r>
      <w:r w:rsidR="00BC7E84">
        <w:rPr>
          <w:rFonts w:ascii="Cambria" w:hAnsi="Cambria" w:cs="Tahoma"/>
          <w:sz w:val="22"/>
          <w:szCs w:val="22"/>
        </w:rPr>
        <w:t>I</w:t>
      </w:r>
      <w:r w:rsidRPr="007B1941">
        <w:rPr>
          <w:rFonts w:ascii="Cambria" w:hAnsi="Cambria" w:cs="Tahoma"/>
          <w:sz w:val="22"/>
          <w:szCs w:val="22"/>
        </w:rPr>
        <w:t xml:space="preserve"> </w:t>
      </w:r>
      <w:r w:rsidR="00BC7E84">
        <w:rPr>
          <w:rFonts w:ascii="Cambria" w:hAnsi="Cambria" w:cs="Tahoma"/>
          <w:sz w:val="22"/>
          <w:szCs w:val="22"/>
        </w:rPr>
        <w:t>E</w:t>
      </w:r>
      <w:r w:rsidRPr="007B1941">
        <w:rPr>
          <w:rFonts w:ascii="Cambria" w:hAnsi="Cambria" w:cs="Tahoma"/>
          <w:sz w:val="22"/>
          <w:szCs w:val="22"/>
        </w:rPr>
        <w:t xml:space="preserve">dizione, in particolare sacche per infusione e sacche per irrigazione, </w:t>
      </w:r>
      <w:r w:rsidRPr="007B1941">
        <w:rPr>
          <w:rFonts w:ascii="Cambria" w:hAnsi="Cambria" w:cs="Tahoma"/>
          <w:sz w:val="22"/>
          <w:szCs w:val="22"/>
          <w:u w:val="single"/>
        </w:rPr>
        <w:t>completamente esente da PVC</w:t>
      </w:r>
      <w:r w:rsidRPr="007B1941">
        <w:rPr>
          <w:rFonts w:ascii="Cambria" w:hAnsi="Cambria" w:cs="Tahoma"/>
          <w:sz w:val="22"/>
          <w:szCs w:val="22"/>
        </w:rPr>
        <w:t>;</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essere protette da un involucro esterno in polietilene o altro materiale idoneo, che assicuri la sterilità, che presenti un invito saldatura o altro sistema che ne faciliti l’apertura ed essere impermeabili all’aria ed all’umidità;</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essere provvisti di fori di sospensione;</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 xml:space="preserve">essere provvisti di punti di accesso che permettano il facile collegamento del contenitore con i dispositivi d’infusione perforabili con </w:t>
      </w:r>
      <w:proofErr w:type="spellStart"/>
      <w:r w:rsidRPr="007B1941">
        <w:rPr>
          <w:rFonts w:ascii="Cambria" w:hAnsi="Cambria" w:cs="Tahoma"/>
          <w:sz w:val="22"/>
          <w:szCs w:val="22"/>
        </w:rPr>
        <w:t>spike</w:t>
      </w:r>
      <w:proofErr w:type="spellEnd"/>
      <w:r w:rsidRPr="007B1941">
        <w:rPr>
          <w:rFonts w:ascii="Cambria" w:hAnsi="Cambria" w:cs="Tahoma"/>
          <w:sz w:val="22"/>
          <w:szCs w:val="22"/>
        </w:rPr>
        <w:t>. Tutti i sistemi di chiusura devono garantire il non distacco di frammenti dopo perforazione o rottura.</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i due punti di ingresso devono essere sufficientemente lunghi, rigidi e  distanziati in modo da impedire che l’ago fori la sacca durante l’aggiunta del farmaco, inoltre devono essere chiusi ermeticamente con sistemi idonei, in modo da garantire la conservazione della sterilità del contenuto ed evitare, durante l’uso, gocciolamenti;</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possedere una forma tale da consentire il completo deflusso della soluzione, per gravità, nella linea d’infusione;</w:t>
      </w:r>
    </w:p>
    <w:p w:rsidR="00484F19" w:rsidRPr="007B1941" w:rsidRDefault="00484F19" w:rsidP="00484F19">
      <w:pPr>
        <w:widowControl w:val="0"/>
        <w:numPr>
          <w:ilvl w:val="0"/>
          <w:numId w:val="31"/>
        </w:numPr>
        <w:jc w:val="both"/>
        <w:rPr>
          <w:rFonts w:ascii="Cambria" w:hAnsi="Cambria" w:cs="Tahoma"/>
          <w:sz w:val="22"/>
          <w:szCs w:val="22"/>
        </w:rPr>
      </w:pPr>
      <w:r w:rsidRPr="007B1941">
        <w:rPr>
          <w:rFonts w:ascii="Cambria" w:hAnsi="Cambria" w:cs="Tahoma"/>
          <w:sz w:val="22"/>
          <w:szCs w:val="22"/>
        </w:rPr>
        <w:t xml:space="preserve">possedere una capacità disponibile pari al 5% del volume per aggiunta di medicinali; </w:t>
      </w:r>
    </w:p>
    <w:p w:rsidR="00484F19" w:rsidRPr="007B1941" w:rsidRDefault="00484F19" w:rsidP="00484F19">
      <w:pPr>
        <w:widowControl w:val="0"/>
        <w:ind w:left="567"/>
        <w:jc w:val="both"/>
        <w:rPr>
          <w:rFonts w:ascii="Cambria" w:hAnsi="Cambria" w:cs="Tahoma"/>
          <w:sz w:val="22"/>
          <w:szCs w:val="22"/>
        </w:rPr>
      </w:pPr>
    </w:p>
    <w:p w:rsidR="00484F19" w:rsidRPr="007B1941" w:rsidRDefault="00484F19" w:rsidP="00484F19">
      <w:pPr>
        <w:pStyle w:val="Corpodeltesto2"/>
        <w:rPr>
          <w:rFonts w:ascii="Cambria" w:hAnsi="Cambria" w:cs="Tahoma"/>
          <w:b/>
          <w:bCs/>
          <w:sz w:val="22"/>
          <w:szCs w:val="22"/>
          <w:u w:val="single"/>
        </w:rPr>
      </w:pPr>
      <w:r w:rsidRPr="007B1941">
        <w:rPr>
          <w:rFonts w:ascii="Cambria" w:hAnsi="Cambria" w:cs="Tahoma"/>
          <w:b/>
          <w:bCs/>
          <w:sz w:val="22"/>
          <w:szCs w:val="22"/>
          <w:u w:val="single"/>
        </w:rPr>
        <w:t>LE ETICHETTE:</w:t>
      </w:r>
    </w:p>
    <w:p w:rsidR="00484F19" w:rsidRPr="007B1941" w:rsidRDefault="00484F19" w:rsidP="00484F19">
      <w:pPr>
        <w:pStyle w:val="Corpodeltesto2"/>
        <w:spacing w:line="240" w:lineRule="auto"/>
        <w:rPr>
          <w:rFonts w:ascii="Cambria" w:hAnsi="Cambria" w:cs="Tahoma"/>
          <w:sz w:val="22"/>
          <w:szCs w:val="22"/>
        </w:rPr>
      </w:pPr>
      <w:r w:rsidRPr="007B1941">
        <w:rPr>
          <w:rFonts w:ascii="Cambria" w:hAnsi="Cambria" w:cs="Tahoma"/>
          <w:sz w:val="22"/>
          <w:szCs w:val="22"/>
        </w:rPr>
        <w:t>devono essere applicate in modo da evitare il distacco, direttamente sui contenitori primari e riportare in modo chiaro, leggibile ed indelebile: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 xml:space="preserve">La composizione </w:t>
      </w:r>
      <w:proofErr w:type="spellStart"/>
      <w:r w:rsidRPr="007B1941">
        <w:rPr>
          <w:rFonts w:ascii="Cambria" w:hAnsi="Cambria" w:cs="Tahoma"/>
          <w:sz w:val="22"/>
          <w:szCs w:val="22"/>
        </w:rPr>
        <w:t>quali-quantitativa</w:t>
      </w:r>
      <w:proofErr w:type="spellEnd"/>
      <w:r w:rsidRPr="007B1941">
        <w:rPr>
          <w:rFonts w:ascii="Cambria" w:hAnsi="Cambria" w:cs="Tahoma"/>
          <w:sz w:val="22"/>
          <w:szCs w:val="22"/>
        </w:rPr>
        <w:t xml:space="preserve"> del contenuto in g/litro, </w:t>
      </w:r>
      <w:proofErr w:type="spellStart"/>
      <w:r w:rsidRPr="007B1941">
        <w:rPr>
          <w:rFonts w:ascii="Cambria" w:hAnsi="Cambria" w:cs="Tahoma"/>
          <w:sz w:val="22"/>
          <w:szCs w:val="22"/>
        </w:rPr>
        <w:t>mEq</w:t>
      </w:r>
      <w:proofErr w:type="spellEnd"/>
      <w:r w:rsidRPr="007B1941">
        <w:rPr>
          <w:rFonts w:ascii="Cambria" w:hAnsi="Cambria" w:cs="Tahoma"/>
          <w:sz w:val="22"/>
          <w:szCs w:val="22"/>
        </w:rPr>
        <w:t xml:space="preserve">/litro per gli elettroliti e </w:t>
      </w:r>
      <w:proofErr w:type="spellStart"/>
      <w:r w:rsidRPr="007B1941">
        <w:rPr>
          <w:rFonts w:ascii="Cambria" w:hAnsi="Cambria" w:cs="Tahoma"/>
          <w:sz w:val="22"/>
          <w:szCs w:val="22"/>
        </w:rPr>
        <w:t>mMol</w:t>
      </w:r>
      <w:proofErr w:type="spellEnd"/>
      <w:r w:rsidRPr="007B1941">
        <w:rPr>
          <w:rFonts w:ascii="Cambria" w:hAnsi="Cambria" w:cs="Tahoma"/>
          <w:sz w:val="22"/>
          <w:szCs w:val="22"/>
        </w:rPr>
        <w:t xml:space="preserve">/litro per i non elettroliti, </w:t>
      </w:r>
      <w:proofErr w:type="spellStart"/>
      <w:r w:rsidRPr="007B1941">
        <w:rPr>
          <w:rFonts w:ascii="Cambria" w:hAnsi="Cambria" w:cs="Tahoma"/>
          <w:sz w:val="22"/>
          <w:szCs w:val="22"/>
        </w:rPr>
        <w:t>mOsm</w:t>
      </w:r>
      <w:proofErr w:type="spellEnd"/>
      <w:r w:rsidRPr="007B1941">
        <w:rPr>
          <w:rFonts w:ascii="Cambria" w:hAnsi="Cambria" w:cs="Tahoma"/>
          <w:sz w:val="22"/>
          <w:szCs w:val="22"/>
        </w:rPr>
        <w:t>/litro e pH della soluzione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Le indicazioni d’uso (modalità di somministrazione ed eventuali avvertenze)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Le modalità di conservazione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 xml:space="preserve">Il numero di lotto, la data di preparazione e la data di scadenza. </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 xml:space="preserve">Le modalità di conservazione </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La dicitura “sterile”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Nome ed indirizzo del produttore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il numero di A.I.C. (se previsto) e la ditta titolare</w:t>
      </w:r>
    </w:p>
    <w:p w:rsidR="00484F19" w:rsidRPr="007B1941" w:rsidRDefault="00484F19" w:rsidP="00484F19">
      <w:pPr>
        <w:pStyle w:val="Corpodeltesto2"/>
        <w:numPr>
          <w:ilvl w:val="0"/>
          <w:numId w:val="30"/>
        </w:numPr>
        <w:spacing w:after="0" w:line="240" w:lineRule="auto"/>
        <w:ind w:right="-1"/>
        <w:jc w:val="both"/>
        <w:rPr>
          <w:rFonts w:ascii="Cambria" w:hAnsi="Cambria" w:cs="Tahoma"/>
          <w:sz w:val="22"/>
          <w:szCs w:val="22"/>
        </w:rPr>
      </w:pPr>
      <w:r w:rsidRPr="007B1941">
        <w:rPr>
          <w:rFonts w:ascii="Cambria" w:hAnsi="Cambria" w:cs="Tahoma"/>
          <w:sz w:val="22"/>
          <w:szCs w:val="22"/>
        </w:rPr>
        <w:t xml:space="preserve">Banda per la lettura ottica (n.b. </w:t>
      </w:r>
      <w:r w:rsidRPr="007B1941">
        <w:rPr>
          <w:rFonts w:ascii="Cambria" w:hAnsi="Cambria" w:cs="Tahoma"/>
          <w:sz w:val="22"/>
          <w:szCs w:val="22"/>
          <w:u w:val="single"/>
        </w:rPr>
        <w:t>i prodotti per irrigazione sono ritenuti idonei sia se dotati di AIC che di marchio CE, di conseguenza saranno ritenuti idonei anche in assenza di codice a barre per lettura ottica</w:t>
      </w:r>
      <w:r w:rsidRPr="007B1941">
        <w:rPr>
          <w:rFonts w:ascii="Cambria" w:hAnsi="Cambria" w:cs="Tahoma"/>
          <w:sz w:val="22"/>
          <w:szCs w:val="22"/>
        </w:rPr>
        <w:t>)</w:t>
      </w:r>
    </w:p>
    <w:p w:rsidR="00484F19" w:rsidRPr="007B1941" w:rsidRDefault="00484F19" w:rsidP="00484F19">
      <w:pPr>
        <w:jc w:val="both"/>
        <w:rPr>
          <w:rFonts w:ascii="Cambria" w:hAnsi="Cambria" w:cs="Tahoma"/>
          <w:b/>
          <w:sz w:val="22"/>
          <w:szCs w:val="22"/>
        </w:rPr>
      </w:pPr>
    </w:p>
    <w:p w:rsidR="00484F19" w:rsidRPr="007B1941" w:rsidRDefault="00484F19" w:rsidP="00484F19">
      <w:pPr>
        <w:jc w:val="both"/>
        <w:rPr>
          <w:rFonts w:ascii="Cambria" w:hAnsi="Cambria" w:cs="Tahoma"/>
          <w:b/>
          <w:sz w:val="22"/>
          <w:szCs w:val="22"/>
        </w:rPr>
      </w:pPr>
      <w:r w:rsidRPr="007B1941">
        <w:rPr>
          <w:rFonts w:ascii="Cambria" w:hAnsi="Cambria" w:cs="Tahoma"/>
          <w:b/>
          <w:sz w:val="22"/>
          <w:szCs w:val="22"/>
        </w:rPr>
        <w:lastRenderedPageBreak/>
        <w:t>L’etichetta delle sacche dovrà essere stampata direttamente sul contenitore primario.</w:t>
      </w:r>
    </w:p>
    <w:p w:rsidR="00484F19" w:rsidRPr="007B1941" w:rsidRDefault="00484F19" w:rsidP="00484F19">
      <w:pPr>
        <w:jc w:val="both"/>
        <w:rPr>
          <w:rFonts w:ascii="Cambria" w:hAnsi="Cambria" w:cs="Tahoma"/>
          <w:b/>
          <w:sz w:val="22"/>
          <w:szCs w:val="22"/>
        </w:rPr>
      </w:pPr>
    </w:p>
    <w:p w:rsidR="00484F19" w:rsidRPr="007B1941" w:rsidRDefault="00484F19" w:rsidP="00484F19">
      <w:pPr>
        <w:jc w:val="both"/>
        <w:rPr>
          <w:rFonts w:ascii="Cambria" w:hAnsi="Cambria" w:cs="Tahoma"/>
          <w:b/>
          <w:sz w:val="22"/>
          <w:szCs w:val="22"/>
        </w:rPr>
      </w:pPr>
      <w:r w:rsidRPr="007B1941">
        <w:rPr>
          <w:rFonts w:ascii="Cambria" w:hAnsi="Cambria" w:cs="Tahoma"/>
          <w:b/>
          <w:sz w:val="22"/>
          <w:szCs w:val="22"/>
        </w:rPr>
        <w:t>CONFEZIONAMENTO (CONFEZIONE SECONDARIA)</w:t>
      </w:r>
    </w:p>
    <w:p w:rsidR="00484F19" w:rsidRPr="007B1941" w:rsidRDefault="00484F19" w:rsidP="00484F19">
      <w:pPr>
        <w:jc w:val="both"/>
        <w:rPr>
          <w:rFonts w:ascii="Cambria" w:hAnsi="Cambria" w:cs="Tahoma"/>
          <w:sz w:val="22"/>
          <w:szCs w:val="22"/>
          <w:u w:val="single"/>
        </w:rPr>
      </w:pPr>
      <w:r w:rsidRPr="007B1941">
        <w:rPr>
          <w:rFonts w:ascii="Cambria" w:hAnsi="Cambria" w:cs="Tahoma"/>
          <w:sz w:val="22"/>
          <w:szCs w:val="22"/>
        </w:rPr>
        <w:t xml:space="preserve">I singoli contenitori primari dovranno essere confezionati, con l’imboccatura rivolta verso il lato di apertura (ove applicabile), in scatole resistenti in grado di garantire l’immagazzinamento per sovrapposizione e dotate di sistemi (alette o altro) per facilitare la movimentazione, resistenti da consentire un immagazzinamento per sovrapposizione. Le scatole dovranno essere sigillate in modo da poter essere aperte solo mediante effrazione o rotture del sigillo ed avere un peso complessivo </w:t>
      </w:r>
      <w:r w:rsidRPr="007B1941">
        <w:rPr>
          <w:rFonts w:ascii="Cambria" w:hAnsi="Cambria" w:cs="Tahoma"/>
          <w:sz w:val="22"/>
          <w:szCs w:val="22"/>
          <w:u w:val="single"/>
        </w:rPr>
        <w:t xml:space="preserve">non superiore ai </w:t>
      </w:r>
      <w:smartTag w:uri="urn:schemas-microsoft-com:office:smarttags" w:element="metricconverter">
        <w:smartTagPr>
          <w:attr w:name="ProductID" w:val="15 Kg"/>
        </w:smartTagPr>
        <w:r w:rsidRPr="007B1941">
          <w:rPr>
            <w:rFonts w:ascii="Cambria" w:hAnsi="Cambria" w:cs="Tahoma"/>
            <w:sz w:val="22"/>
            <w:szCs w:val="22"/>
            <w:u w:val="single"/>
          </w:rPr>
          <w:t>15 Kg</w:t>
        </w:r>
      </w:smartTag>
      <w:r w:rsidRPr="007B1941">
        <w:rPr>
          <w:rFonts w:ascii="Cambria" w:hAnsi="Cambria" w:cs="Tahoma"/>
          <w:sz w:val="22"/>
          <w:szCs w:val="22"/>
          <w:u w:val="single"/>
        </w:rPr>
        <w:t xml:space="preserve"> circa (tolleranza ± 10%). </w:t>
      </w:r>
    </w:p>
    <w:p w:rsidR="00484F19" w:rsidRPr="007B1941" w:rsidRDefault="00484F19" w:rsidP="00484F19">
      <w:pPr>
        <w:jc w:val="both"/>
        <w:rPr>
          <w:rFonts w:ascii="Cambria" w:hAnsi="Cambria" w:cs="Tahoma"/>
          <w:sz w:val="22"/>
          <w:szCs w:val="22"/>
        </w:rPr>
      </w:pPr>
      <w:r w:rsidRPr="007B1941">
        <w:rPr>
          <w:rFonts w:ascii="Cambria" w:hAnsi="Cambria" w:cs="Tahoma"/>
          <w:sz w:val="22"/>
          <w:szCs w:val="22"/>
        </w:rPr>
        <w:t>Dovranno inoltre essere dotati di etichetta per codice a barre leggibile dai comuni sistemi di lettura delle Aziende Sanitarie ed Ospedaliere del Friuli Venezia Giulia.</w:t>
      </w:r>
    </w:p>
    <w:p w:rsidR="00484F19" w:rsidRPr="007B1941" w:rsidRDefault="00484F19" w:rsidP="00404D70">
      <w:pPr>
        <w:pStyle w:val="Corpodeltesto3"/>
        <w:jc w:val="both"/>
        <w:rPr>
          <w:rFonts w:ascii="Cambria" w:hAnsi="Cambria" w:cs="Tahoma"/>
          <w:sz w:val="22"/>
          <w:szCs w:val="22"/>
        </w:rPr>
      </w:pPr>
      <w:r w:rsidRPr="007B1941">
        <w:rPr>
          <w:rFonts w:ascii="Cambria" w:hAnsi="Cambria" w:cs="Tahoma"/>
          <w:sz w:val="22"/>
          <w:szCs w:val="22"/>
        </w:rPr>
        <w:t>Il confezionamento secondario dovrà riportare, con caratteri indelebili, ben visibili ed in lingua italiana, tutti i dati contenuti in etichetta, la quantità di flaconi o sacche.</w:t>
      </w:r>
    </w:p>
    <w:p w:rsidR="00484F19" w:rsidRPr="007B1941" w:rsidRDefault="00484F19" w:rsidP="00484F19">
      <w:pPr>
        <w:pStyle w:val="Corpodeltesto3"/>
        <w:jc w:val="both"/>
        <w:rPr>
          <w:rFonts w:ascii="Cambria" w:hAnsi="Cambria" w:cs="Tahoma"/>
          <w:b/>
          <w:sz w:val="22"/>
          <w:szCs w:val="22"/>
        </w:rPr>
      </w:pPr>
      <w:r w:rsidRPr="007B1941">
        <w:rPr>
          <w:rFonts w:ascii="Cambria" w:hAnsi="Cambria" w:cs="Tahoma"/>
          <w:b/>
          <w:sz w:val="22"/>
          <w:szCs w:val="22"/>
        </w:rPr>
        <w:t xml:space="preserve">Al momento della consegna i flaconi di mannitolo non devono presentare fenomeni di cristallizzazione. </w:t>
      </w:r>
    </w:p>
    <w:p w:rsidR="00484F19" w:rsidRPr="007B1941" w:rsidRDefault="00484F19" w:rsidP="00484F19">
      <w:pPr>
        <w:pStyle w:val="Corpodeltesto2"/>
        <w:spacing w:after="0" w:line="240" w:lineRule="auto"/>
        <w:rPr>
          <w:rFonts w:ascii="Cambria" w:hAnsi="Cambria" w:cs="Tahoma"/>
          <w:b/>
          <w:sz w:val="22"/>
          <w:szCs w:val="22"/>
        </w:rPr>
      </w:pPr>
    </w:p>
    <w:p w:rsidR="00484F19" w:rsidRPr="007B1941" w:rsidRDefault="00484F19" w:rsidP="00484F19">
      <w:pPr>
        <w:pStyle w:val="Corpodeltesto2"/>
        <w:spacing w:after="0" w:line="240" w:lineRule="auto"/>
        <w:rPr>
          <w:rFonts w:ascii="Cambria" w:hAnsi="Cambria" w:cs="Tahoma"/>
          <w:b/>
          <w:sz w:val="22"/>
          <w:szCs w:val="22"/>
        </w:rPr>
      </w:pPr>
    </w:p>
    <w:p w:rsidR="007B1941" w:rsidRPr="0071026E" w:rsidRDefault="007B1941" w:rsidP="007B1941">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7B1941" w:rsidRPr="0071026E" w:rsidRDefault="007B1941" w:rsidP="007B1941">
      <w:pPr>
        <w:pStyle w:val="Corpodeltesto2"/>
        <w:spacing w:after="0" w:line="240" w:lineRule="auto"/>
        <w:rPr>
          <w:rFonts w:ascii="Cambria" w:hAnsi="Cambria"/>
          <w:b/>
          <w:sz w:val="28"/>
          <w:szCs w:val="28"/>
          <w:u w:val="single"/>
        </w:rPr>
      </w:pPr>
    </w:p>
    <w:p w:rsidR="007B1941" w:rsidRPr="0071026E" w:rsidRDefault="007B1941" w:rsidP="007B1941">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7B1941" w:rsidRPr="0071026E" w:rsidRDefault="007B1941" w:rsidP="007B1941">
      <w:pPr>
        <w:jc w:val="both"/>
        <w:rPr>
          <w:rFonts w:ascii="Cambria" w:hAnsi="Cambria" w:cs="Tahoma"/>
          <w:sz w:val="22"/>
          <w:szCs w:val="22"/>
        </w:rPr>
      </w:pPr>
    </w:p>
    <w:p w:rsidR="007B1941" w:rsidRPr="00A72DB5" w:rsidRDefault="007B1941" w:rsidP="007B1941">
      <w:pPr>
        <w:numPr>
          <w:ilvl w:val="0"/>
          <w:numId w:val="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7B1941" w:rsidRPr="00A72DB5" w:rsidRDefault="007B1941" w:rsidP="007B1941">
      <w:pPr>
        <w:ind w:left="720"/>
        <w:jc w:val="both"/>
        <w:rPr>
          <w:rFonts w:ascii="Cambria" w:hAnsi="Cambria" w:cs="Tahoma"/>
          <w:sz w:val="22"/>
          <w:szCs w:val="22"/>
          <w:u w:val="single"/>
        </w:rPr>
      </w:pPr>
    </w:p>
    <w:p w:rsidR="007B1941" w:rsidRPr="007B1941" w:rsidRDefault="007B1941" w:rsidP="007B1941">
      <w:pPr>
        <w:numPr>
          <w:ilvl w:val="0"/>
          <w:numId w:val="9"/>
        </w:numPr>
        <w:jc w:val="both"/>
        <w:rPr>
          <w:rFonts w:ascii="Cambria" w:hAnsi="Cambria" w:cs="Tahoma"/>
          <w:sz w:val="22"/>
          <w:szCs w:val="22"/>
        </w:rPr>
      </w:pPr>
      <w:r>
        <w:rPr>
          <w:rFonts w:ascii="Cambria" w:hAnsi="Cambria" w:cs="Tahoma"/>
          <w:sz w:val="22"/>
          <w:szCs w:val="22"/>
        </w:rPr>
        <w:t xml:space="preserve">schede tecniche </w:t>
      </w:r>
      <w:r w:rsidRPr="00DF626B">
        <w:rPr>
          <w:rFonts w:ascii="Cambria" w:hAnsi="Cambria" w:cs="Tahoma"/>
          <w:sz w:val="22"/>
          <w:szCs w:val="22"/>
        </w:rPr>
        <w:t xml:space="preserve">e ogni altra documentazione </w:t>
      </w:r>
      <w:r w:rsidRPr="007B1941">
        <w:rPr>
          <w:rFonts w:ascii="Cambria" w:hAnsi="Cambria" w:cs="Tahoma"/>
          <w:sz w:val="22"/>
          <w:szCs w:val="22"/>
        </w:rPr>
        <w:t>(compresa dichiarazione latex free, ove pertinente),</w:t>
      </w:r>
      <w:r w:rsidRPr="00DF626B">
        <w:rPr>
          <w:rFonts w:ascii="Cambria" w:hAnsi="Cambria" w:cs="Tahoma"/>
          <w:sz w:val="22"/>
          <w:szCs w:val="22"/>
        </w:rPr>
        <w:t xml:space="preserv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w:t>
      </w:r>
      <w:r w:rsidRPr="007B1941">
        <w:rPr>
          <w:rFonts w:ascii="Cambria" w:hAnsi="Cambria" w:cs="Tahoma"/>
          <w:sz w:val="22"/>
          <w:szCs w:val="22"/>
        </w:rPr>
        <w:t xml:space="preserve"> e </w:t>
      </w:r>
      <w:r w:rsidRPr="007B1941">
        <w:rPr>
          <w:rFonts w:ascii="Cambria" w:hAnsi="Cambria" w:cs="Tahoma"/>
          <w:b/>
          <w:sz w:val="22"/>
          <w:szCs w:val="22"/>
        </w:rPr>
        <w:t xml:space="preserve">il numero del lotto a cui </w:t>
      </w:r>
      <w:r>
        <w:rPr>
          <w:rFonts w:ascii="Cambria" w:hAnsi="Cambria" w:cs="Tahoma"/>
          <w:b/>
          <w:sz w:val="22"/>
          <w:szCs w:val="22"/>
        </w:rPr>
        <w:t xml:space="preserve">le schede </w:t>
      </w:r>
      <w:r w:rsidRPr="007B1941">
        <w:rPr>
          <w:rFonts w:ascii="Cambria" w:hAnsi="Cambria" w:cs="Tahoma"/>
          <w:b/>
          <w:sz w:val="22"/>
          <w:szCs w:val="22"/>
        </w:rPr>
        <w:t>si riferiscono</w:t>
      </w:r>
      <w:r w:rsidRPr="00DF626B">
        <w:rPr>
          <w:rFonts w:ascii="Cambria" w:hAnsi="Cambria" w:cs="Tahoma"/>
          <w:sz w:val="22"/>
          <w:szCs w:val="22"/>
        </w:rPr>
        <w:t xml:space="preserve">. </w:t>
      </w:r>
      <w:r w:rsidRPr="00DF626B">
        <w:rPr>
          <w:rFonts w:ascii="Cambria" w:hAnsi="Cambria" w:cs="Tahoma"/>
          <w:sz w:val="22"/>
          <w:szCs w:val="22"/>
          <w:u w:val="single"/>
        </w:rPr>
        <w:t xml:space="preserve">Tale documentazione dovrà essere presentata sia in formato cartaceo che </w:t>
      </w:r>
      <w:r w:rsidRPr="007B1941">
        <w:rPr>
          <w:rFonts w:ascii="Cambria" w:hAnsi="Cambria" w:cs="Tahoma"/>
          <w:sz w:val="22"/>
          <w:szCs w:val="22"/>
          <w:u w:val="single"/>
        </w:rPr>
        <w:t xml:space="preserve">su </w:t>
      </w:r>
      <w:proofErr w:type="spellStart"/>
      <w:r w:rsidRPr="007B1941">
        <w:rPr>
          <w:rFonts w:ascii="Cambria" w:hAnsi="Cambria" w:cs="Tahoma"/>
          <w:sz w:val="22"/>
          <w:szCs w:val="22"/>
          <w:u w:val="single"/>
        </w:rPr>
        <w:t>CD</w:t>
      </w:r>
      <w:proofErr w:type="spellEnd"/>
      <w:r w:rsidRPr="007B1941">
        <w:rPr>
          <w:rFonts w:ascii="Cambria" w:hAnsi="Cambria" w:cs="Tahoma"/>
          <w:sz w:val="22"/>
          <w:szCs w:val="22"/>
        </w:rPr>
        <w:t xml:space="preserve">. </w:t>
      </w:r>
      <w:r>
        <w:rPr>
          <w:rFonts w:ascii="Cambria" w:hAnsi="Cambria" w:cs="Tahoma"/>
          <w:sz w:val="22"/>
          <w:szCs w:val="22"/>
        </w:rPr>
        <w:t xml:space="preserve">I documenti salvati in </w:t>
      </w:r>
      <w:r w:rsidRPr="007B1941">
        <w:rPr>
          <w:rFonts w:ascii="Cambria" w:hAnsi="Cambria" w:cs="Tahoma"/>
          <w:sz w:val="22"/>
          <w:szCs w:val="22"/>
        </w:rPr>
        <w:t>formato digitale dovr</w:t>
      </w:r>
      <w:r>
        <w:rPr>
          <w:rFonts w:ascii="Cambria" w:hAnsi="Cambria" w:cs="Tahoma"/>
          <w:sz w:val="22"/>
          <w:szCs w:val="22"/>
        </w:rPr>
        <w:t>anno</w:t>
      </w:r>
      <w:r w:rsidRPr="007B1941">
        <w:rPr>
          <w:rFonts w:ascii="Cambria" w:hAnsi="Cambria" w:cs="Tahoma"/>
          <w:sz w:val="22"/>
          <w:szCs w:val="22"/>
        </w:rPr>
        <w:t xml:space="preserve"> essere identic</w:t>
      </w:r>
      <w:r>
        <w:rPr>
          <w:rFonts w:ascii="Cambria" w:hAnsi="Cambria" w:cs="Tahoma"/>
          <w:sz w:val="22"/>
          <w:szCs w:val="22"/>
        </w:rPr>
        <w:t>i</w:t>
      </w:r>
      <w:r w:rsidRPr="007B1941">
        <w:rPr>
          <w:rFonts w:ascii="Cambria" w:hAnsi="Cambria" w:cs="Tahoma"/>
          <w:sz w:val="22"/>
          <w:szCs w:val="22"/>
        </w:rPr>
        <w:t xml:space="preserve"> a quell</w:t>
      </w:r>
      <w:r>
        <w:rPr>
          <w:rFonts w:ascii="Cambria" w:hAnsi="Cambria" w:cs="Tahoma"/>
          <w:sz w:val="22"/>
          <w:szCs w:val="22"/>
        </w:rPr>
        <w:t>i</w:t>
      </w:r>
      <w:r w:rsidRPr="007B1941">
        <w:rPr>
          <w:rFonts w:ascii="Cambria" w:hAnsi="Cambria" w:cs="Tahoma"/>
          <w:sz w:val="22"/>
          <w:szCs w:val="22"/>
        </w:rPr>
        <w:t xml:space="preserve"> presentat</w:t>
      </w:r>
      <w:r>
        <w:rPr>
          <w:rFonts w:ascii="Cambria" w:hAnsi="Cambria" w:cs="Tahoma"/>
          <w:sz w:val="22"/>
          <w:szCs w:val="22"/>
        </w:rPr>
        <w:t>i</w:t>
      </w:r>
      <w:r w:rsidRPr="007B1941">
        <w:rPr>
          <w:rFonts w:ascii="Cambria" w:hAnsi="Cambria" w:cs="Tahoma"/>
          <w:sz w:val="22"/>
          <w:szCs w:val="22"/>
        </w:rPr>
        <w:t xml:space="preserve"> in sede di gara e dovr</w:t>
      </w:r>
      <w:r>
        <w:rPr>
          <w:rFonts w:ascii="Cambria" w:hAnsi="Cambria" w:cs="Tahoma"/>
          <w:sz w:val="22"/>
          <w:szCs w:val="22"/>
        </w:rPr>
        <w:t>anno</w:t>
      </w:r>
      <w:r w:rsidRPr="007B1941">
        <w:rPr>
          <w:rFonts w:ascii="Cambria" w:hAnsi="Cambria" w:cs="Tahoma"/>
          <w:sz w:val="22"/>
          <w:szCs w:val="22"/>
        </w:rPr>
        <w:t xml:space="preserve"> essere corredat</w:t>
      </w:r>
      <w:r>
        <w:rPr>
          <w:rFonts w:ascii="Cambria" w:hAnsi="Cambria" w:cs="Tahoma"/>
          <w:sz w:val="22"/>
          <w:szCs w:val="22"/>
        </w:rPr>
        <w:t>i</w:t>
      </w:r>
      <w:r w:rsidRPr="007B1941">
        <w:rPr>
          <w:rFonts w:ascii="Cambria" w:hAnsi="Cambria" w:cs="Tahoma"/>
          <w:sz w:val="22"/>
          <w:szCs w:val="22"/>
        </w:rPr>
        <w:t xml:space="preserve"> da una dichiarazione attestante che i file forniti sono conformi ai documenti presentati in gara</w:t>
      </w:r>
      <w:r>
        <w:rPr>
          <w:rFonts w:ascii="Cambria" w:hAnsi="Cambria" w:cs="Tahoma"/>
          <w:sz w:val="22"/>
          <w:szCs w:val="22"/>
        </w:rPr>
        <w:t>.</w:t>
      </w:r>
    </w:p>
    <w:p w:rsidR="007B1941" w:rsidRPr="007B1941" w:rsidRDefault="007B1941" w:rsidP="007B1941">
      <w:pPr>
        <w:pStyle w:val="Paragrafoelenco"/>
        <w:rPr>
          <w:rFonts w:ascii="Cambria" w:hAnsi="Cambria" w:cs="Tahoma"/>
          <w:sz w:val="22"/>
          <w:szCs w:val="22"/>
        </w:rPr>
      </w:pPr>
    </w:p>
    <w:p w:rsidR="0095386E" w:rsidRPr="0095386E" w:rsidRDefault="0095386E" w:rsidP="0095386E">
      <w:pPr>
        <w:numPr>
          <w:ilvl w:val="0"/>
          <w:numId w:val="9"/>
        </w:numPr>
        <w:jc w:val="both"/>
        <w:rPr>
          <w:rFonts w:ascii="Cambria" w:hAnsi="Cambria" w:cs="Tahoma"/>
          <w:sz w:val="22"/>
          <w:szCs w:val="22"/>
        </w:rPr>
      </w:pPr>
      <w:r w:rsidRPr="0095386E">
        <w:rPr>
          <w:rFonts w:ascii="Cambria" w:hAnsi="Cambria" w:cs="Tahoma"/>
          <w:sz w:val="22"/>
          <w:szCs w:val="22"/>
        </w:rPr>
        <w:t>documentazione con dati di compatibilità (sacca e contenuto rispetto al farmaco) per il lotto 21</w:t>
      </w:r>
      <w:r>
        <w:rPr>
          <w:rFonts w:ascii="Cambria" w:hAnsi="Cambria" w:cs="Tahoma"/>
          <w:sz w:val="22"/>
          <w:szCs w:val="22"/>
        </w:rPr>
        <w:t>.</w:t>
      </w:r>
    </w:p>
    <w:p w:rsidR="0095386E" w:rsidRDefault="0095386E" w:rsidP="0095386E">
      <w:pPr>
        <w:pStyle w:val="Paragrafoelenco"/>
        <w:rPr>
          <w:rFonts w:ascii="Cambria" w:hAnsi="Cambria" w:cs="Tahoma"/>
          <w:bCs/>
          <w:sz w:val="22"/>
          <w:szCs w:val="22"/>
        </w:rPr>
      </w:pPr>
    </w:p>
    <w:p w:rsidR="007B1941" w:rsidRPr="00DF626B" w:rsidRDefault="007B1941" w:rsidP="007B1941">
      <w:pPr>
        <w:numPr>
          <w:ilvl w:val="0"/>
          <w:numId w:val="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7B1941" w:rsidRPr="0071026E" w:rsidRDefault="007B1941" w:rsidP="007B1941">
      <w:pPr>
        <w:jc w:val="both"/>
        <w:rPr>
          <w:rFonts w:ascii="Cambria" w:hAnsi="Cambria" w:cs="Tahoma"/>
          <w:sz w:val="22"/>
          <w:szCs w:val="22"/>
        </w:rPr>
      </w:pPr>
    </w:p>
    <w:p w:rsidR="007B1941" w:rsidRPr="00CB36F1" w:rsidRDefault="007B1941" w:rsidP="007B1941">
      <w:pPr>
        <w:numPr>
          <w:ilvl w:val="0"/>
          <w:numId w:val="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CB36F1" w:rsidRDefault="00CB36F1" w:rsidP="00CB36F1">
      <w:pPr>
        <w:pStyle w:val="Paragrafoelenco"/>
        <w:rPr>
          <w:rFonts w:ascii="Cambria" w:hAnsi="Cambria" w:cs="Tahoma"/>
          <w:sz w:val="22"/>
          <w:szCs w:val="22"/>
        </w:rPr>
      </w:pPr>
    </w:p>
    <w:p w:rsidR="00CB36F1" w:rsidRPr="0095386E" w:rsidRDefault="00CB36F1" w:rsidP="00CB36F1">
      <w:pPr>
        <w:ind w:left="720"/>
        <w:jc w:val="both"/>
        <w:rPr>
          <w:rFonts w:ascii="Cambria" w:hAnsi="Cambria" w:cs="Tahoma"/>
          <w:sz w:val="22"/>
          <w:szCs w:val="22"/>
        </w:rPr>
      </w:pPr>
    </w:p>
    <w:p w:rsidR="00484F19" w:rsidRPr="007B1941" w:rsidRDefault="00484F19" w:rsidP="00484F19">
      <w:pPr>
        <w:ind w:right="-1"/>
        <w:rPr>
          <w:rFonts w:ascii="Cambria" w:hAnsi="Cambria" w:cs="Tahoma"/>
          <w:b/>
          <w:sz w:val="22"/>
          <w:szCs w:val="22"/>
        </w:rPr>
      </w:pPr>
    </w:p>
    <w:p w:rsidR="00484F19" w:rsidRPr="007B1941" w:rsidRDefault="00484F19" w:rsidP="00484F19">
      <w:pPr>
        <w:numPr>
          <w:ilvl w:val="12"/>
          <w:numId w:val="0"/>
        </w:numPr>
        <w:ind w:right="-1"/>
        <w:jc w:val="both"/>
        <w:rPr>
          <w:rFonts w:ascii="Cambria" w:hAnsi="Cambria"/>
          <w:b/>
          <w:sz w:val="22"/>
          <w:szCs w:val="22"/>
          <w:u w:val="single"/>
        </w:rPr>
      </w:pPr>
      <w:r w:rsidRPr="007B1941">
        <w:rPr>
          <w:rFonts w:ascii="Cambria" w:hAnsi="Cambria"/>
          <w:b/>
          <w:sz w:val="22"/>
          <w:szCs w:val="22"/>
          <w:u w:val="single"/>
        </w:rPr>
        <w:t>CAMPIONATURA:</w:t>
      </w:r>
    </w:p>
    <w:p w:rsidR="00484F19" w:rsidRPr="007B1941" w:rsidRDefault="00484F19" w:rsidP="00484F19">
      <w:pPr>
        <w:numPr>
          <w:ilvl w:val="12"/>
          <w:numId w:val="0"/>
        </w:numPr>
        <w:jc w:val="both"/>
        <w:rPr>
          <w:rFonts w:ascii="Cambria" w:hAnsi="Cambria" w:cs="Tahoma"/>
          <w:sz w:val="22"/>
          <w:szCs w:val="22"/>
        </w:rPr>
      </w:pPr>
    </w:p>
    <w:p w:rsidR="00484F19" w:rsidRPr="007B1941" w:rsidRDefault="00484F19" w:rsidP="00484F19">
      <w:pPr>
        <w:jc w:val="both"/>
        <w:rPr>
          <w:rFonts w:ascii="Cambria" w:hAnsi="Cambria" w:cs="Tahoma"/>
          <w:sz w:val="22"/>
          <w:szCs w:val="22"/>
          <w:u w:val="single"/>
        </w:rPr>
      </w:pPr>
      <w:r w:rsidRPr="007B1941">
        <w:rPr>
          <w:rFonts w:ascii="Cambria" w:hAnsi="Cambria" w:cs="Tahoma"/>
          <w:sz w:val="22"/>
          <w:szCs w:val="22"/>
          <w:u w:val="single"/>
        </w:rPr>
        <w:t>La campionatura non è richiesta in questa fase.</w:t>
      </w:r>
    </w:p>
    <w:p w:rsidR="00484F19" w:rsidRPr="007B1941" w:rsidRDefault="00484F19" w:rsidP="00484F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rPr>
          <w:rFonts w:ascii="Cambria" w:hAnsi="Cambria" w:cs="Tahoma"/>
          <w:sz w:val="22"/>
          <w:szCs w:val="22"/>
        </w:rPr>
      </w:pPr>
    </w:p>
    <w:p w:rsidR="00484F19" w:rsidRPr="007B1941" w:rsidRDefault="00484F19" w:rsidP="00484F19">
      <w:pPr>
        <w:jc w:val="both"/>
        <w:rPr>
          <w:rFonts w:ascii="Cambria" w:hAnsi="Cambria" w:cs="Tahoma"/>
          <w:sz w:val="22"/>
          <w:szCs w:val="22"/>
        </w:rPr>
      </w:pPr>
      <w:r w:rsidRPr="007B1941">
        <w:rPr>
          <w:rFonts w:ascii="Cambria" w:hAnsi="Cambria" w:cs="Tahoma"/>
          <w:sz w:val="22"/>
          <w:szCs w:val="22"/>
        </w:rPr>
        <w:lastRenderedPageBreak/>
        <w:t xml:space="preserve">Si precisa tuttavia che le ditte partecipanti, successivamente, potranno essere invitate a presentare campionatura per ogni prodotto offerto qualora </w:t>
      </w:r>
      <w:smartTag w:uri="urn:schemas-microsoft-com:office:smarttags" w:element="PersonName">
        <w:smartTagPr>
          <w:attr w:name="ProductID" w:val="La Commissione"/>
        </w:smartTagPr>
        <w:r w:rsidRPr="007B1941">
          <w:rPr>
            <w:rFonts w:ascii="Cambria" w:hAnsi="Cambria" w:cs="Tahoma"/>
            <w:sz w:val="22"/>
            <w:szCs w:val="22"/>
          </w:rPr>
          <w:t>la Commissione</w:t>
        </w:r>
      </w:smartTag>
      <w:r w:rsidRPr="007B1941">
        <w:rPr>
          <w:rFonts w:ascii="Cambria" w:hAnsi="Cambria" w:cs="Tahoma"/>
          <w:sz w:val="22"/>
          <w:szCs w:val="22"/>
        </w:rPr>
        <w:t xml:space="preserve"> Giudicatrice lo ritenesse necessario ai fini della valutazione dell’idoneità del prodotto; in questo caso quantitativi, caratteristiche e modalità di presentazione della campionatura verranno precisati con apposita comunicazione.</w:t>
      </w:r>
    </w:p>
    <w:p w:rsidR="00484F19" w:rsidRPr="007B1941" w:rsidRDefault="00484F19" w:rsidP="00484F19">
      <w:pPr>
        <w:ind w:right="-1"/>
        <w:rPr>
          <w:rFonts w:ascii="Cambria" w:hAnsi="Cambria" w:cs="Tahoma"/>
          <w:b/>
          <w:sz w:val="22"/>
          <w:szCs w:val="22"/>
        </w:rPr>
      </w:pPr>
    </w:p>
    <w:p w:rsidR="00484F19" w:rsidRPr="007B1941" w:rsidRDefault="00484F19" w:rsidP="00484F19">
      <w:pPr>
        <w:pStyle w:val="Corpodeltesto2"/>
        <w:spacing w:after="0" w:line="240" w:lineRule="auto"/>
        <w:jc w:val="center"/>
        <w:rPr>
          <w:rFonts w:ascii="Cambria" w:hAnsi="Cambria" w:cs="Tahoma"/>
          <w:b/>
          <w:sz w:val="22"/>
          <w:szCs w:val="22"/>
        </w:rPr>
      </w:pPr>
    </w:p>
    <w:p w:rsidR="00484F19" w:rsidRPr="007B1941" w:rsidRDefault="00484F19" w:rsidP="00484F19">
      <w:pPr>
        <w:ind w:right="-1"/>
        <w:rPr>
          <w:rFonts w:ascii="Cambria" w:hAnsi="Cambria" w:cs="Tahoma"/>
          <w:b/>
          <w:sz w:val="22"/>
          <w:szCs w:val="22"/>
        </w:rPr>
      </w:pPr>
    </w:p>
    <w:p w:rsidR="006E5923" w:rsidRPr="007B1941" w:rsidRDefault="006E5923">
      <w:pPr>
        <w:rPr>
          <w:rFonts w:ascii="Cambria" w:hAnsi="Cambria"/>
          <w:sz w:val="22"/>
          <w:szCs w:val="22"/>
        </w:rPr>
      </w:pPr>
    </w:p>
    <w:sectPr w:rsidR="006E5923" w:rsidRPr="007B1941" w:rsidSect="007B1941">
      <w:footerReference w:type="default" r:id="rId13"/>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565" w:rsidRDefault="00367565" w:rsidP="00F17440">
      <w:r>
        <w:separator/>
      </w:r>
    </w:p>
  </w:endnote>
  <w:endnote w:type="continuationSeparator" w:id="0">
    <w:p w:rsidR="00367565" w:rsidRDefault="00367565" w:rsidP="00F174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565" w:rsidRDefault="00367565">
    <w:pPr>
      <w:pStyle w:val="Pidipagina"/>
      <w:jc w:val="right"/>
      <w:rPr>
        <w:rFonts w:ascii="Cambria" w:hAnsi="Cambria" w:cs="Tahoma"/>
        <w:sz w:val="22"/>
        <w:szCs w:val="22"/>
      </w:rPr>
    </w:pPr>
  </w:p>
  <w:p w:rsidR="00367565" w:rsidRPr="00DE5EB5" w:rsidRDefault="00367565">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565" w:rsidRDefault="00367565" w:rsidP="00F17440">
      <w:r>
        <w:separator/>
      </w:r>
    </w:p>
  </w:footnote>
  <w:footnote w:type="continuationSeparator" w:id="0">
    <w:p w:rsidR="00367565" w:rsidRDefault="00367565" w:rsidP="00F174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B9CE5C"/>
    <w:multiLevelType w:val="hybridMultilevel"/>
    <w:tmpl w:val="0C565075"/>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7E754C4"/>
    <w:multiLevelType w:val="hybridMultilevel"/>
    <w:tmpl w:val="4B7E7DD6"/>
    <w:lvl w:ilvl="0" w:tplc="935CA110">
      <w:start w:val="1"/>
      <w:numFmt w:val="bullet"/>
      <w:lvlText w:val=""/>
      <w:legacy w:legacy="1" w:legacySpace="360" w:legacyIndent="283"/>
      <w:lvlJc w:val="left"/>
      <w:pPr>
        <w:ind w:left="823" w:hanging="283"/>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3">
    <w:nsid w:val="08F837C4"/>
    <w:multiLevelType w:val="hybridMultilevel"/>
    <w:tmpl w:val="10A4CB58"/>
    <w:lvl w:ilvl="0" w:tplc="0410000F">
      <w:start w:val="1"/>
      <w:numFmt w:val="decimal"/>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0F100579"/>
    <w:multiLevelType w:val="hybridMultilevel"/>
    <w:tmpl w:val="4B7E7DD6"/>
    <w:lvl w:ilvl="0" w:tplc="F49A3E64">
      <w:start w:val="1"/>
      <w:numFmt w:val="bullet"/>
      <w:lvlText w:val=""/>
      <w:lvlJc w:val="left"/>
      <w:pPr>
        <w:tabs>
          <w:tab w:val="num" w:pos="720"/>
        </w:tabs>
        <w:ind w:left="720" w:hanging="360"/>
      </w:pPr>
      <w:rPr>
        <w:rFonts w:ascii="Symbol" w:hAnsi="Symbol" w:hint="default"/>
        <w:color w:val="auto"/>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7">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70D7089"/>
    <w:multiLevelType w:val="multilevel"/>
    <w:tmpl w:val="31A0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B6E053A"/>
    <w:multiLevelType w:val="hybridMultilevel"/>
    <w:tmpl w:val="513C0404"/>
    <w:lvl w:ilvl="0" w:tplc="04100011">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5">
    <w:nsid w:val="3D2E4DFF"/>
    <w:multiLevelType w:val="multilevel"/>
    <w:tmpl w:val="0EC64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A7D4FA1"/>
    <w:multiLevelType w:val="hybridMultilevel"/>
    <w:tmpl w:val="7FEC2808"/>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E485720"/>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4587CF1"/>
    <w:multiLevelType w:val="hybridMultilevel"/>
    <w:tmpl w:val="0DE67F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5CE0FBD"/>
    <w:multiLevelType w:val="hybridMultilevel"/>
    <w:tmpl w:val="CEE840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67630AC"/>
    <w:multiLevelType w:val="hybridMultilevel"/>
    <w:tmpl w:val="6508718A"/>
    <w:lvl w:ilvl="0" w:tplc="04100005">
      <w:start w:val="1"/>
      <w:numFmt w:val="lowerLetter"/>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24">
    <w:nsid w:val="567A4D20"/>
    <w:multiLevelType w:val="hybridMultilevel"/>
    <w:tmpl w:val="F3AC9514"/>
    <w:lvl w:ilvl="0" w:tplc="FFFFFFFF">
      <w:start w:val="1"/>
      <w:numFmt w:val="bullet"/>
      <w:lvlText w:val=""/>
      <w:lvlJc w:val="left"/>
      <w:pPr>
        <w:tabs>
          <w:tab w:val="num" w:pos="567"/>
        </w:tabs>
        <w:ind w:left="56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5BB61599"/>
    <w:multiLevelType w:val="multilevel"/>
    <w:tmpl w:val="B95A4918"/>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07457F"/>
    <w:multiLevelType w:val="hybridMultilevel"/>
    <w:tmpl w:val="CD1681E2"/>
    <w:lvl w:ilvl="0" w:tplc="3E7CACC6">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67D77357"/>
    <w:multiLevelType w:val="hybridMultilevel"/>
    <w:tmpl w:val="5DCA6DF6"/>
    <w:lvl w:ilvl="0" w:tplc="855EE406">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8FA4FDE"/>
    <w:multiLevelType w:val="hybridMultilevel"/>
    <w:tmpl w:val="7BC46DA8"/>
    <w:lvl w:ilvl="0" w:tplc="04100001">
      <w:start w:val="1"/>
      <w:numFmt w:val="bullet"/>
      <w:lvlText w:val=""/>
      <w:lvlJc w:val="left"/>
      <w:pPr>
        <w:tabs>
          <w:tab w:val="num" w:pos="567"/>
        </w:tabs>
        <w:ind w:left="56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E211E82"/>
    <w:multiLevelType w:val="hybridMultilevel"/>
    <w:tmpl w:val="FAF4FDB2"/>
    <w:lvl w:ilvl="0" w:tplc="92E04970">
      <w:start w:val="7"/>
      <w:numFmt w:val="bullet"/>
      <w:lvlText w:val="-"/>
      <w:lvlJc w:val="left"/>
      <w:pPr>
        <w:ind w:left="720" w:hanging="360"/>
      </w:pPr>
      <w:rPr>
        <w:rFonts w:ascii="Arial" w:eastAsia="Times New Roman" w:hAnsi="Arial" w:cs="Aria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8"/>
  </w:num>
  <w:num w:numId="3">
    <w:abstractNumId w:val="7"/>
  </w:num>
  <w:num w:numId="4">
    <w:abstractNumId w:val="11"/>
  </w:num>
  <w:num w:numId="5">
    <w:abstractNumId w:val="12"/>
  </w:num>
  <w:num w:numId="6">
    <w:abstractNumId w:val="22"/>
  </w:num>
  <w:num w:numId="7">
    <w:abstractNumId w:val="14"/>
  </w:num>
  <w:num w:numId="8">
    <w:abstractNumId w:val="9"/>
  </w:num>
  <w:num w:numId="9">
    <w:abstractNumId w:val="3"/>
  </w:num>
  <w:num w:numId="10">
    <w:abstractNumId w:val="16"/>
  </w:num>
  <w:num w:numId="11">
    <w:abstractNumId w:val="25"/>
  </w:num>
  <w:num w:numId="12">
    <w:abstractNumId w:val="20"/>
  </w:num>
  <w:num w:numId="13">
    <w:abstractNumId w:val="5"/>
  </w:num>
  <w:num w:numId="14">
    <w:abstractNumId w:val="15"/>
  </w:num>
  <w:num w:numId="15">
    <w:abstractNumId w:val="26"/>
  </w:num>
  <w:num w:numId="16">
    <w:abstractNumId w:val="8"/>
  </w:num>
  <w:num w:numId="17">
    <w:abstractNumId w:val="13"/>
  </w:num>
  <w:num w:numId="18">
    <w:abstractNumId w:val="32"/>
  </w:num>
  <w:num w:numId="19">
    <w:abstractNumId w:val="23"/>
  </w:num>
  <w:num w:numId="20">
    <w:abstractNumId w:val="0"/>
  </w:num>
  <w:num w:numId="21">
    <w:abstractNumId w:val="4"/>
  </w:num>
  <w:num w:numId="22">
    <w:abstractNumId w:val="17"/>
  </w:num>
  <w:num w:numId="23">
    <w:abstractNumId w:val="28"/>
  </w:num>
  <w:num w:numId="24">
    <w:abstractNumId w:val="10"/>
  </w:num>
  <w:num w:numId="25">
    <w:abstractNumId w:val="19"/>
  </w:num>
  <w:num w:numId="26">
    <w:abstractNumId w:val="27"/>
  </w:num>
  <w:num w:numId="27">
    <w:abstractNumId w:val="2"/>
  </w:num>
  <w:num w:numId="28">
    <w:abstractNumId w:val="6"/>
  </w:num>
  <w:num w:numId="29">
    <w:abstractNumId w:val="29"/>
  </w:num>
  <w:num w:numId="30">
    <w:abstractNumId w:val="21"/>
  </w:num>
  <w:num w:numId="31">
    <w:abstractNumId w:val="24"/>
  </w:num>
  <w:num w:numId="32">
    <w:abstractNumId w:val="31"/>
  </w:num>
  <w:num w:numId="33">
    <w:abstractNumId w:val="30"/>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484F19"/>
    <w:rsid w:val="000D174E"/>
    <w:rsid w:val="00201922"/>
    <w:rsid w:val="002E3615"/>
    <w:rsid w:val="00326D5A"/>
    <w:rsid w:val="00367565"/>
    <w:rsid w:val="00404D70"/>
    <w:rsid w:val="00484F19"/>
    <w:rsid w:val="00513A69"/>
    <w:rsid w:val="00536864"/>
    <w:rsid w:val="00566700"/>
    <w:rsid w:val="006668D8"/>
    <w:rsid w:val="006E5923"/>
    <w:rsid w:val="00755DF7"/>
    <w:rsid w:val="007B1941"/>
    <w:rsid w:val="007E7D26"/>
    <w:rsid w:val="008B08A7"/>
    <w:rsid w:val="00906F59"/>
    <w:rsid w:val="0091523C"/>
    <w:rsid w:val="00930D99"/>
    <w:rsid w:val="0095231F"/>
    <w:rsid w:val="0095386E"/>
    <w:rsid w:val="009B2214"/>
    <w:rsid w:val="009E080C"/>
    <w:rsid w:val="00AB4539"/>
    <w:rsid w:val="00B01791"/>
    <w:rsid w:val="00B66938"/>
    <w:rsid w:val="00BA4DC5"/>
    <w:rsid w:val="00BC7E84"/>
    <w:rsid w:val="00CB36F1"/>
    <w:rsid w:val="00CC000F"/>
    <w:rsid w:val="00CC5037"/>
    <w:rsid w:val="00DA66D9"/>
    <w:rsid w:val="00DF3C14"/>
    <w:rsid w:val="00E51A36"/>
    <w:rsid w:val="00E81380"/>
    <w:rsid w:val="00E82A14"/>
    <w:rsid w:val="00ED1378"/>
    <w:rsid w:val="00F17440"/>
    <w:rsid w:val="00F560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4F19"/>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484F19"/>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484F19"/>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484F19"/>
    <w:pPr>
      <w:keepNext/>
      <w:jc w:val="both"/>
      <w:outlineLvl w:val="2"/>
    </w:pPr>
    <w:rPr>
      <w:rFonts w:ascii="Tahoma" w:hAnsi="Tahoma" w:cs="Tahoma"/>
      <w:b/>
      <w:bCs/>
      <w:sz w:val="22"/>
    </w:rPr>
  </w:style>
  <w:style w:type="paragraph" w:styleId="Titolo4">
    <w:name w:val="heading 4"/>
    <w:basedOn w:val="Normale"/>
    <w:next w:val="Normale"/>
    <w:link w:val="Titolo4Carattere"/>
    <w:qFormat/>
    <w:rsid w:val="00484F19"/>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484F19"/>
    <w:pPr>
      <w:spacing w:before="240" w:after="60"/>
      <w:outlineLvl w:val="4"/>
    </w:pPr>
    <w:rPr>
      <w:b/>
      <w:bCs/>
      <w:i/>
      <w:iCs/>
      <w:sz w:val="26"/>
      <w:szCs w:val="26"/>
    </w:rPr>
  </w:style>
  <w:style w:type="paragraph" w:styleId="Titolo6">
    <w:name w:val="heading 6"/>
    <w:basedOn w:val="Normale"/>
    <w:next w:val="Normale"/>
    <w:link w:val="Titolo6Carattere"/>
    <w:qFormat/>
    <w:rsid w:val="00484F19"/>
    <w:pPr>
      <w:spacing w:before="240" w:after="60"/>
      <w:outlineLvl w:val="5"/>
    </w:pPr>
    <w:rPr>
      <w:b/>
      <w:bCs/>
      <w:sz w:val="22"/>
      <w:szCs w:val="22"/>
    </w:rPr>
  </w:style>
  <w:style w:type="paragraph" w:styleId="Titolo7">
    <w:name w:val="heading 7"/>
    <w:basedOn w:val="Normale"/>
    <w:next w:val="Normale"/>
    <w:link w:val="Titolo7Carattere"/>
    <w:qFormat/>
    <w:rsid w:val="00484F19"/>
    <w:pPr>
      <w:spacing w:before="240" w:after="60"/>
      <w:outlineLvl w:val="6"/>
    </w:pPr>
    <w:rPr>
      <w:sz w:val="24"/>
      <w:szCs w:val="24"/>
    </w:rPr>
  </w:style>
  <w:style w:type="paragraph" w:styleId="Titolo8">
    <w:name w:val="heading 8"/>
    <w:basedOn w:val="Normale"/>
    <w:next w:val="Normale"/>
    <w:link w:val="Titolo8Carattere"/>
    <w:qFormat/>
    <w:rsid w:val="00484F1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84F19"/>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484F19"/>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rsid w:val="00484F19"/>
    <w:rPr>
      <w:rFonts w:ascii="Tahoma" w:eastAsia="Times New Roman" w:hAnsi="Tahoma" w:cs="Tahoma"/>
      <w:b/>
      <w:bCs/>
      <w:szCs w:val="20"/>
      <w:lang w:eastAsia="it-IT"/>
    </w:rPr>
  </w:style>
  <w:style w:type="character" w:customStyle="1" w:styleId="Titolo4Carattere">
    <w:name w:val="Titolo 4 Carattere"/>
    <w:basedOn w:val="Carpredefinitoparagrafo"/>
    <w:link w:val="Titolo4"/>
    <w:rsid w:val="00484F19"/>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484F19"/>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484F19"/>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484F19"/>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484F19"/>
    <w:rPr>
      <w:rFonts w:ascii="Times New Roman" w:eastAsia="Times New Roman" w:hAnsi="Times New Roman" w:cs="Times New Roman"/>
      <w:sz w:val="40"/>
      <w:szCs w:val="20"/>
      <w:lang w:eastAsia="it-IT"/>
    </w:rPr>
  </w:style>
  <w:style w:type="paragraph" w:styleId="Intestazione">
    <w:name w:val="header"/>
    <w:basedOn w:val="Normale"/>
    <w:link w:val="IntestazioneCarattere"/>
    <w:rsid w:val="00484F19"/>
    <w:pPr>
      <w:tabs>
        <w:tab w:val="center" w:pos="4819"/>
        <w:tab w:val="right" w:pos="9638"/>
      </w:tabs>
    </w:pPr>
  </w:style>
  <w:style w:type="character" w:customStyle="1" w:styleId="IntestazioneCarattere">
    <w:name w:val="Intestazione Carattere"/>
    <w:basedOn w:val="Carpredefinitoparagrafo"/>
    <w:link w:val="Intestazione"/>
    <w:rsid w:val="00484F1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484F19"/>
    <w:pPr>
      <w:tabs>
        <w:tab w:val="center" w:pos="4819"/>
        <w:tab w:val="right" w:pos="9638"/>
      </w:tabs>
    </w:pPr>
  </w:style>
  <w:style w:type="character" w:customStyle="1" w:styleId="PidipaginaCarattere">
    <w:name w:val="Piè di pagina Carattere"/>
    <w:basedOn w:val="Carpredefinitoparagrafo"/>
    <w:link w:val="Pidipagina"/>
    <w:uiPriority w:val="99"/>
    <w:rsid w:val="00484F19"/>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484F19"/>
    <w:rPr>
      <w:rFonts w:ascii="Tahoma" w:hAnsi="Tahoma" w:cs="Tahoma"/>
      <w:sz w:val="16"/>
      <w:szCs w:val="16"/>
    </w:rPr>
  </w:style>
  <w:style w:type="character" w:customStyle="1" w:styleId="TestofumettoCarattere">
    <w:name w:val="Testo fumetto Carattere"/>
    <w:basedOn w:val="Carpredefinitoparagrafo"/>
    <w:link w:val="Testofumetto"/>
    <w:semiHidden/>
    <w:rsid w:val="00484F19"/>
    <w:rPr>
      <w:rFonts w:ascii="Tahoma" w:eastAsia="Times New Roman" w:hAnsi="Tahoma" w:cs="Tahoma"/>
      <w:sz w:val="16"/>
      <w:szCs w:val="16"/>
      <w:lang w:eastAsia="it-IT"/>
    </w:rPr>
  </w:style>
  <w:style w:type="paragraph" w:styleId="Corpodeltesto">
    <w:name w:val="Body Text"/>
    <w:basedOn w:val="Normale"/>
    <w:link w:val="CorpodeltestoCarattere"/>
    <w:rsid w:val="00484F19"/>
    <w:pPr>
      <w:jc w:val="both"/>
    </w:pPr>
    <w:rPr>
      <w:sz w:val="28"/>
    </w:rPr>
  </w:style>
  <w:style w:type="character" w:customStyle="1" w:styleId="CorpodeltestoCarattere">
    <w:name w:val="Corpo del testo Carattere"/>
    <w:basedOn w:val="Carpredefinitoparagrafo"/>
    <w:link w:val="Corpodeltesto"/>
    <w:rsid w:val="00484F19"/>
    <w:rPr>
      <w:rFonts w:ascii="Times New Roman" w:eastAsia="Times New Roman" w:hAnsi="Times New Roman" w:cs="Times New Roman"/>
      <w:sz w:val="28"/>
      <w:szCs w:val="20"/>
      <w:lang w:eastAsia="it-IT"/>
    </w:rPr>
  </w:style>
  <w:style w:type="paragraph" w:styleId="Rientrocorpodeltesto">
    <w:name w:val="Body Text Indent"/>
    <w:basedOn w:val="Normale"/>
    <w:link w:val="RientrocorpodeltestoCarattere"/>
    <w:rsid w:val="00484F19"/>
    <w:pPr>
      <w:spacing w:after="120"/>
      <w:ind w:left="283"/>
    </w:pPr>
  </w:style>
  <w:style w:type="character" w:customStyle="1" w:styleId="RientrocorpodeltestoCarattere">
    <w:name w:val="Rientro corpo del testo Carattere"/>
    <w:basedOn w:val="Carpredefinitoparagrafo"/>
    <w:link w:val="Rientrocorpodeltesto"/>
    <w:rsid w:val="00484F19"/>
    <w:rPr>
      <w:rFonts w:ascii="Times New Roman" w:eastAsia="Times New Roman" w:hAnsi="Times New Roman" w:cs="Times New Roman"/>
      <w:sz w:val="20"/>
      <w:szCs w:val="20"/>
      <w:lang w:eastAsia="it-IT"/>
    </w:rPr>
  </w:style>
  <w:style w:type="character" w:styleId="Collegamentoipertestuale">
    <w:name w:val="Hyperlink"/>
    <w:basedOn w:val="Carpredefinitoparagrafo"/>
    <w:rsid w:val="00484F19"/>
    <w:rPr>
      <w:color w:val="0000FF"/>
      <w:u w:val="single"/>
    </w:rPr>
  </w:style>
  <w:style w:type="paragraph" w:styleId="Corpodeltesto2">
    <w:name w:val="Body Text 2"/>
    <w:basedOn w:val="Normale"/>
    <w:link w:val="Corpodeltesto2Carattere"/>
    <w:rsid w:val="00484F19"/>
    <w:pPr>
      <w:spacing w:after="120" w:line="480" w:lineRule="auto"/>
    </w:pPr>
  </w:style>
  <w:style w:type="character" w:customStyle="1" w:styleId="Corpodeltesto2Carattere">
    <w:name w:val="Corpo del testo 2 Carattere"/>
    <w:basedOn w:val="Carpredefinitoparagrafo"/>
    <w:link w:val="Corpodeltesto2"/>
    <w:rsid w:val="00484F19"/>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484F19"/>
    <w:pPr>
      <w:widowControl w:val="0"/>
      <w:pBdr>
        <w:bottom w:val="single" w:sz="12" w:space="23" w:color="auto"/>
      </w:pBdr>
      <w:jc w:val="both"/>
    </w:pPr>
  </w:style>
  <w:style w:type="paragraph" w:styleId="Corpodeltesto3">
    <w:name w:val="Body Text 3"/>
    <w:basedOn w:val="Normale"/>
    <w:link w:val="Corpodeltesto3Carattere"/>
    <w:rsid w:val="00484F19"/>
    <w:pPr>
      <w:spacing w:after="120"/>
    </w:pPr>
    <w:rPr>
      <w:sz w:val="16"/>
      <w:szCs w:val="16"/>
    </w:rPr>
  </w:style>
  <w:style w:type="character" w:customStyle="1" w:styleId="Corpodeltesto3Carattere">
    <w:name w:val="Corpo del testo 3 Carattere"/>
    <w:basedOn w:val="Carpredefinitoparagrafo"/>
    <w:link w:val="Corpodeltesto3"/>
    <w:rsid w:val="00484F19"/>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rsid w:val="00484F19"/>
    <w:rPr>
      <w:rFonts w:ascii="Tahoma" w:hAnsi="Tahoma" w:cs="Tahoma"/>
      <w:b/>
      <w:sz w:val="22"/>
      <w:szCs w:val="22"/>
    </w:rPr>
  </w:style>
  <w:style w:type="character" w:styleId="Numeropagina">
    <w:name w:val="page number"/>
    <w:basedOn w:val="Carpredefinitoparagrafo"/>
    <w:rsid w:val="00484F19"/>
  </w:style>
  <w:style w:type="paragraph" w:customStyle="1" w:styleId="p3">
    <w:name w:val="p3"/>
    <w:basedOn w:val="Normale"/>
    <w:rsid w:val="00484F19"/>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484F19"/>
    <w:pPr>
      <w:widowControl w:val="0"/>
      <w:spacing w:line="240" w:lineRule="atLeast"/>
      <w:ind w:left="288" w:firstLine="576"/>
      <w:jc w:val="both"/>
    </w:pPr>
    <w:rPr>
      <w:rFonts w:eastAsia="Arial Unicode MS"/>
      <w:sz w:val="24"/>
      <w:lang w:val="en-US"/>
    </w:rPr>
  </w:style>
  <w:style w:type="paragraph" w:customStyle="1" w:styleId="p9">
    <w:name w:val="p9"/>
    <w:basedOn w:val="Normale"/>
    <w:rsid w:val="00484F19"/>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basedOn w:val="Carpredefinitoparagrafo"/>
    <w:uiPriority w:val="99"/>
    <w:rsid w:val="00484F19"/>
    <w:rPr>
      <w:color w:val="800080"/>
      <w:u w:val="single"/>
    </w:rPr>
  </w:style>
  <w:style w:type="character" w:styleId="Enfasigrassetto">
    <w:name w:val="Strong"/>
    <w:basedOn w:val="Carpredefinitoparagrafo"/>
    <w:qFormat/>
    <w:rsid w:val="00484F19"/>
    <w:rPr>
      <w:b/>
      <w:bCs/>
    </w:rPr>
  </w:style>
  <w:style w:type="paragraph" w:customStyle="1" w:styleId="Corpodeltesto31">
    <w:name w:val="Corpo del testo 31"/>
    <w:basedOn w:val="Normale"/>
    <w:rsid w:val="00484F19"/>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484F19"/>
  </w:style>
  <w:style w:type="table" w:styleId="Grigliatabella">
    <w:name w:val="Table Grid"/>
    <w:basedOn w:val="Tabellanormale"/>
    <w:uiPriority w:val="59"/>
    <w:rsid w:val="00484F19"/>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484F19"/>
    <w:pPr>
      <w:ind w:left="1134" w:right="1133"/>
    </w:pPr>
    <w:rPr>
      <w:sz w:val="24"/>
    </w:rPr>
  </w:style>
  <w:style w:type="paragraph" w:styleId="Rientrocorpodeltesto2">
    <w:name w:val="Body Text Indent 2"/>
    <w:basedOn w:val="Normale"/>
    <w:link w:val="Rientrocorpodeltesto2Carattere"/>
    <w:rsid w:val="00484F19"/>
    <w:pPr>
      <w:spacing w:after="120" w:line="480" w:lineRule="auto"/>
      <w:ind w:left="283"/>
    </w:pPr>
  </w:style>
  <w:style w:type="character" w:customStyle="1" w:styleId="Rientrocorpodeltesto2Carattere">
    <w:name w:val="Rientro corpo del testo 2 Carattere"/>
    <w:basedOn w:val="Carpredefinitoparagrafo"/>
    <w:link w:val="Rientrocorpodeltesto2"/>
    <w:rsid w:val="00484F19"/>
    <w:rPr>
      <w:rFonts w:ascii="Times New Roman" w:eastAsia="Times New Roman" w:hAnsi="Times New Roman" w:cs="Times New Roman"/>
      <w:sz w:val="20"/>
      <w:szCs w:val="20"/>
      <w:lang w:eastAsia="it-IT"/>
    </w:rPr>
  </w:style>
  <w:style w:type="paragraph" w:styleId="Titolo">
    <w:name w:val="Title"/>
    <w:basedOn w:val="Normale"/>
    <w:link w:val="TitoloCarattere"/>
    <w:qFormat/>
    <w:rsid w:val="00484F19"/>
    <w:pPr>
      <w:jc w:val="center"/>
    </w:pPr>
    <w:rPr>
      <w:b/>
      <w:bCs/>
      <w:i/>
      <w:sz w:val="24"/>
      <w:szCs w:val="24"/>
    </w:rPr>
  </w:style>
  <w:style w:type="character" w:customStyle="1" w:styleId="TitoloCarattere">
    <w:name w:val="Titolo Carattere"/>
    <w:basedOn w:val="Carpredefinitoparagrafo"/>
    <w:link w:val="Titolo"/>
    <w:rsid w:val="00484F19"/>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484F19"/>
    <w:pPr>
      <w:spacing w:line="480" w:lineRule="auto"/>
      <w:jc w:val="center"/>
    </w:pPr>
    <w:rPr>
      <w:b/>
      <w:bCs/>
      <w:sz w:val="24"/>
      <w:szCs w:val="24"/>
      <w:u w:val="single"/>
    </w:rPr>
  </w:style>
  <w:style w:type="paragraph" w:styleId="NormaleWeb">
    <w:name w:val="Normal (Web)"/>
    <w:basedOn w:val="Normale"/>
    <w:rsid w:val="00484F19"/>
    <w:pPr>
      <w:spacing w:before="100" w:beforeAutospacing="1" w:after="100" w:afterAutospacing="1"/>
    </w:pPr>
    <w:rPr>
      <w:sz w:val="24"/>
      <w:szCs w:val="24"/>
    </w:rPr>
  </w:style>
  <w:style w:type="paragraph" w:customStyle="1" w:styleId="CarattereCarattereCarattere">
    <w:name w:val="Carattere Carattere Carattere"/>
    <w:basedOn w:val="Normale"/>
    <w:rsid w:val="00484F1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484F19"/>
    <w:pPr>
      <w:spacing w:after="160" w:line="240" w:lineRule="exact"/>
    </w:pPr>
    <w:rPr>
      <w:rFonts w:ascii="Arial" w:hAnsi="Arial" w:cs="Arial"/>
      <w:sz w:val="18"/>
      <w:szCs w:val="18"/>
      <w:lang w:val="en-US" w:eastAsia="en-US"/>
    </w:rPr>
  </w:style>
  <w:style w:type="paragraph" w:customStyle="1" w:styleId="Carattere1">
    <w:name w:val="Carattere1"/>
    <w:basedOn w:val="Normale"/>
    <w:rsid w:val="00484F19"/>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484F19"/>
    <w:pPr>
      <w:widowControl w:val="0"/>
      <w:autoSpaceDE w:val="0"/>
      <w:autoSpaceDN w:val="0"/>
      <w:adjustRightInd w:val="0"/>
      <w:spacing w:after="268"/>
    </w:pPr>
    <w:rPr>
      <w:sz w:val="24"/>
      <w:szCs w:val="24"/>
    </w:rPr>
  </w:style>
  <w:style w:type="paragraph" w:customStyle="1" w:styleId="CM6">
    <w:name w:val="CM6"/>
    <w:basedOn w:val="Default"/>
    <w:next w:val="Default"/>
    <w:rsid w:val="00484F19"/>
    <w:pPr>
      <w:widowControl w:val="0"/>
      <w:spacing w:line="276" w:lineRule="atLeast"/>
    </w:pPr>
    <w:rPr>
      <w:rFonts w:ascii="Times New Roman" w:hAnsi="Times New Roman"/>
      <w:sz w:val="24"/>
      <w:szCs w:val="24"/>
    </w:rPr>
  </w:style>
  <w:style w:type="paragraph" w:customStyle="1" w:styleId="Default">
    <w:name w:val="Default"/>
    <w:rsid w:val="00484F19"/>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484F19"/>
    <w:pPr>
      <w:widowControl w:val="0"/>
      <w:spacing w:after="380"/>
    </w:pPr>
    <w:rPr>
      <w:rFonts w:ascii="Times New Roman" w:hAnsi="Times New Roman"/>
      <w:sz w:val="24"/>
      <w:szCs w:val="24"/>
    </w:rPr>
  </w:style>
  <w:style w:type="paragraph" w:customStyle="1" w:styleId="CM1">
    <w:name w:val="CM1"/>
    <w:basedOn w:val="Default"/>
    <w:next w:val="Default"/>
    <w:rsid w:val="00484F19"/>
    <w:pPr>
      <w:widowControl w:val="0"/>
    </w:pPr>
    <w:rPr>
      <w:rFonts w:ascii="Times New Roman" w:hAnsi="Times New Roman"/>
      <w:sz w:val="24"/>
      <w:szCs w:val="24"/>
    </w:rPr>
  </w:style>
  <w:style w:type="paragraph" w:customStyle="1" w:styleId="CM4">
    <w:name w:val="CM4"/>
    <w:basedOn w:val="Default"/>
    <w:next w:val="Default"/>
    <w:rsid w:val="00484F19"/>
    <w:pPr>
      <w:widowControl w:val="0"/>
      <w:spacing w:line="416" w:lineRule="atLeast"/>
    </w:pPr>
    <w:rPr>
      <w:rFonts w:ascii="Times New Roman" w:hAnsi="Times New Roman"/>
      <w:sz w:val="24"/>
      <w:szCs w:val="24"/>
    </w:rPr>
  </w:style>
  <w:style w:type="paragraph" w:customStyle="1" w:styleId="CM5">
    <w:name w:val="CM5"/>
    <w:basedOn w:val="Default"/>
    <w:next w:val="Default"/>
    <w:rsid w:val="00484F19"/>
    <w:pPr>
      <w:widowControl w:val="0"/>
      <w:spacing w:line="416" w:lineRule="atLeast"/>
    </w:pPr>
    <w:rPr>
      <w:rFonts w:ascii="Times New Roman" w:hAnsi="Times New Roman"/>
      <w:sz w:val="24"/>
      <w:szCs w:val="24"/>
    </w:rPr>
  </w:style>
  <w:style w:type="paragraph" w:customStyle="1" w:styleId="CM8">
    <w:name w:val="CM8"/>
    <w:basedOn w:val="Default"/>
    <w:next w:val="Default"/>
    <w:rsid w:val="00484F19"/>
    <w:pPr>
      <w:widowControl w:val="0"/>
      <w:spacing w:line="416" w:lineRule="atLeast"/>
    </w:pPr>
    <w:rPr>
      <w:rFonts w:ascii="Times New Roman" w:hAnsi="Times New Roman"/>
      <w:sz w:val="24"/>
      <w:szCs w:val="24"/>
    </w:rPr>
  </w:style>
  <w:style w:type="paragraph" w:customStyle="1" w:styleId="CM10">
    <w:name w:val="CM10"/>
    <w:basedOn w:val="Default"/>
    <w:next w:val="Default"/>
    <w:rsid w:val="00484F19"/>
    <w:pPr>
      <w:widowControl w:val="0"/>
      <w:spacing w:line="416" w:lineRule="atLeast"/>
    </w:pPr>
    <w:rPr>
      <w:rFonts w:ascii="Times New Roman" w:hAnsi="Times New Roman"/>
      <w:sz w:val="24"/>
      <w:szCs w:val="24"/>
    </w:rPr>
  </w:style>
  <w:style w:type="paragraph" w:customStyle="1" w:styleId="CM20">
    <w:name w:val="CM20"/>
    <w:basedOn w:val="Default"/>
    <w:next w:val="Default"/>
    <w:rsid w:val="00484F19"/>
    <w:pPr>
      <w:widowControl w:val="0"/>
      <w:spacing w:after="788"/>
    </w:pPr>
    <w:rPr>
      <w:rFonts w:ascii="Times New Roman" w:hAnsi="Times New Roman"/>
      <w:sz w:val="24"/>
      <w:szCs w:val="24"/>
    </w:rPr>
  </w:style>
  <w:style w:type="paragraph" w:customStyle="1" w:styleId="CM21">
    <w:name w:val="CM21"/>
    <w:basedOn w:val="Default"/>
    <w:next w:val="Default"/>
    <w:rsid w:val="00484F19"/>
    <w:pPr>
      <w:widowControl w:val="0"/>
      <w:spacing w:after="260"/>
    </w:pPr>
    <w:rPr>
      <w:rFonts w:ascii="Times New Roman" w:hAnsi="Times New Roman"/>
      <w:sz w:val="24"/>
      <w:szCs w:val="24"/>
    </w:rPr>
  </w:style>
  <w:style w:type="paragraph" w:customStyle="1" w:styleId="CM18">
    <w:name w:val="CM18"/>
    <w:basedOn w:val="Default"/>
    <w:next w:val="Default"/>
    <w:rsid w:val="00484F19"/>
    <w:pPr>
      <w:widowControl w:val="0"/>
      <w:spacing w:after="155"/>
    </w:pPr>
    <w:rPr>
      <w:rFonts w:ascii="Times New Roman" w:hAnsi="Times New Roman"/>
      <w:sz w:val="24"/>
      <w:szCs w:val="24"/>
    </w:rPr>
  </w:style>
  <w:style w:type="paragraph" w:customStyle="1" w:styleId="CM7">
    <w:name w:val="CM7"/>
    <w:basedOn w:val="Default"/>
    <w:next w:val="Default"/>
    <w:rsid w:val="00484F19"/>
    <w:pPr>
      <w:widowControl w:val="0"/>
      <w:spacing w:line="416" w:lineRule="atLeast"/>
    </w:pPr>
    <w:rPr>
      <w:rFonts w:ascii="Times New Roman" w:hAnsi="Times New Roman"/>
      <w:sz w:val="24"/>
      <w:szCs w:val="24"/>
    </w:rPr>
  </w:style>
  <w:style w:type="paragraph" w:customStyle="1" w:styleId="CM22">
    <w:name w:val="CM22"/>
    <w:basedOn w:val="Default"/>
    <w:next w:val="Default"/>
    <w:rsid w:val="00484F19"/>
    <w:pPr>
      <w:widowControl w:val="0"/>
      <w:spacing w:after="245"/>
    </w:pPr>
    <w:rPr>
      <w:rFonts w:ascii="Times New Roman" w:hAnsi="Times New Roman"/>
      <w:sz w:val="24"/>
      <w:szCs w:val="24"/>
    </w:rPr>
  </w:style>
  <w:style w:type="paragraph" w:customStyle="1" w:styleId="CM2">
    <w:name w:val="CM2"/>
    <w:basedOn w:val="Default"/>
    <w:next w:val="Default"/>
    <w:rsid w:val="00484F19"/>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484F19"/>
    <w:rPr>
      <w:rFonts w:ascii="Courier New" w:hAnsi="Courier New"/>
    </w:rPr>
  </w:style>
  <w:style w:type="character" w:customStyle="1" w:styleId="TestonormaleCarattere">
    <w:name w:val="Testo normale Carattere"/>
    <w:basedOn w:val="Carpredefinitoparagrafo"/>
    <w:link w:val="Testonormale"/>
    <w:uiPriority w:val="99"/>
    <w:rsid w:val="00484F19"/>
    <w:rPr>
      <w:rFonts w:ascii="Courier New" w:eastAsia="Times New Roman" w:hAnsi="Courier New" w:cs="Times New Roman"/>
      <w:sz w:val="20"/>
      <w:szCs w:val="20"/>
      <w:lang w:eastAsia="it-IT"/>
    </w:rPr>
  </w:style>
  <w:style w:type="character" w:styleId="Enfasicorsivo">
    <w:name w:val="Emphasis"/>
    <w:basedOn w:val="Carpredefinitoparagrafo"/>
    <w:qFormat/>
    <w:rsid w:val="00484F19"/>
    <w:rPr>
      <w:i/>
      <w:iCs/>
    </w:rPr>
  </w:style>
  <w:style w:type="paragraph" w:customStyle="1" w:styleId="Testo10modulistica">
    <w:name w:val="Testo 10 modulistica"/>
    <w:basedOn w:val="Normale"/>
    <w:uiPriority w:val="99"/>
    <w:rsid w:val="00484F19"/>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99"/>
    <w:qFormat/>
    <w:rsid w:val="007B1941"/>
    <w:pPr>
      <w:ind w:left="708"/>
    </w:pPr>
  </w:style>
  <w:style w:type="paragraph" w:customStyle="1" w:styleId="Corpodeltesto22">
    <w:name w:val="Corpo del testo 22"/>
    <w:basedOn w:val="Normale"/>
    <w:uiPriority w:val="99"/>
    <w:rsid w:val="00930D99"/>
    <w:pPr>
      <w:jc w:val="center"/>
    </w:pPr>
    <w:rPr>
      <w:rFonts w:ascii="Arial" w:hAnsi="Arial"/>
      <w:b/>
    </w:rPr>
  </w:style>
  <w:style w:type="character" w:customStyle="1" w:styleId="CollegamentoInternet">
    <w:name w:val="Collegamento Internet"/>
    <w:basedOn w:val="Carpredefinitoparagrafo"/>
    <w:rsid w:val="00930D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gas.sanita.fv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gas.protgen@certsanita.fvg.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gas.sanita.fvg.it" TargetMode="External"/><Relationship Id="rId4" Type="http://schemas.openxmlformats.org/officeDocument/2006/relationships/webSettings" Target="webSettings.xml"/><Relationship Id="rId9" Type="http://schemas.openxmlformats.org/officeDocument/2006/relationships/hyperlink" Target="mailto:egas.protgen@certsanita.fvg.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1842</Words>
  <Characters>10506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picogna.serena</dc:creator>
  <cp:lastModifiedBy>cemulini.chiara</cp:lastModifiedBy>
  <cp:revision>5</cp:revision>
  <cp:lastPrinted>2016-11-02T11:03:00Z</cp:lastPrinted>
  <dcterms:created xsi:type="dcterms:W3CDTF">2016-11-02T10:20:00Z</dcterms:created>
  <dcterms:modified xsi:type="dcterms:W3CDTF">2016-11-02T11:07:00Z</dcterms:modified>
</cp:coreProperties>
</file>